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FA66A"/>
          <w:sz w:val="32"/>
        </w:rPr>
        <w:t>Lesson 042</w:t>
      </w:r>
    </w:p>
    <w:p>
      <w:pPr>
        <w:jc w:val="center"/>
      </w:pPr>
      <w:r>
        <w:rPr>
          <w:rFonts w:ascii="Aptos Display" w:hAnsi="Aptos Display"/>
          <w:b/>
          <w:sz w:val="48"/>
        </w:rPr>
        <w:t>Int32 and Int64</w:t>
      </w:r>
    </w:p>
    <w:p>
      <w:pPr>
        <w:jc w:val="center"/>
      </w:pPr>
      <w:r>
        <w:rPr>
          <w:color w:val="666666"/>
          <w:sz w:val="26"/>
        </w:rPr>
        <w:t>MongoDB Developer Learning Path</w:t>
      </w:r>
    </w:p>
    <w:p>
      <w:pPr>
        <w:spacing w:after="100"/>
      </w:pPr>
      <w:r>
        <w:rPr>
          <w:rFonts w:ascii="Aptos" w:hAnsi="Aptos"/>
          <w:b w:val="0"/>
          <w:color w:val="222222"/>
          <w:sz w:val="22"/>
        </w:rPr>
        <w:t>This lesson explains the difference between MongoDB Int32 and Int64 values, how mongosh can make integer width explicit, and how developers can connect integer width to business range and driver mapping.</w:t>
      </w:r>
    </w:p>
    <w:p>
      <w:r>
        <w:rPr>
          <w:rFonts w:ascii="Aptos Display" w:hAnsi="Aptos Display"/>
          <w:b/>
          <w:color w:val="1F2937"/>
          <w:sz w:val="36"/>
        </w:rPr>
        <w:t>Learning objectives</w:t>
      </w:r>
    </w:p>
    <w:p>
      <w:pPr>
        <w:spacing w:after="100"/>
      </w:pPr>
      <w:r>
        <w:rPr>
          <w:rFonts w:ascii="Aptos" w:hAnsi="Aptos"/>
          <w:b w:val="0"/>
          <w:color w:val="222222"/>
          <w:sz w:val="22"/>
        </w:rPr>
        <w:t>• Recognize Int32 and Int64 as distinct BSON integer types.</w:t>
      </w:r>
    </w:p>
    <w:p>
      <w:pPr>
        <w:spacing w:after="100"/>
      </w:pPr>
      <w:r>
        <w:rPr>
          <w:rFonts w:ascii="Aptos" w:hAnsi="Aptos"/>
          <w:b w:val="0"/>
          <w:color w:val="222222"/>
          <w:sz w:val="22"/>
        </w:rPr>
        <w:t>• Understand why range requirements should drive integer-width decisions.</w:t>
      </w:r>
    </w:p>
    <w:p>
      <w:pPr>
        <w:spacing w:after="100"/>
      </w:pPr>
      <w:r>
        <w:rPr>
          <w:rFonts w:ascii="Aptos" w:hAnsi="Aptos"/>
          <w:b w:val="0"/>
          <w:color w:val="222222"/>
          <w:sz w:val="22"/>
        </w:rPr>
        <w:t>• Use NumberInt() and NumberLong() in mongosh to make examples explicit.</w:t>
      </w:r>
    </w:p>
    <w:p>
      <w:pPr>
        <w:spacing w:after="100"/>
      </w:pPr>
      <w:r>
        <w:rPr>
          <w:rFonts w:ascii="Aptos" w:hAnsi="Aptos"/>
          <w:b w:val="0"/>
          <w:color w:val="222222"/>
          <w:sz w:val="22"/>
        </w:rPr>
        <w:t>• Use $type to inspect the stored BSON type.</w:t>
      </w:r>
    </w:p>
    <w:p>
      <w:pPr>
        <w:spacing w:after="100"/>
      </w:pPr>
      <w:r>
        <w:rPr>
          <w:rFonts w:ascii="Aptos" w:hAnsi="Aptos"/>
          <w:b w:val="0"/>
          <w:color w:val="222222"/>
          <w:sz w:val="22"/>
        </w:rPr>
        <w:t>• Separate application runtime representation from MongoDB storage representation.</w:t>
      </w:r>
    </w:p>
    <w:p>
      <w:r>
        <w:rPr>
          <w:rFonts w:ascii="Aptos Display" w:hAnsi="Aptos Display"/>
          <w:b/>
          <w:color w:val="1F2937"/>
          <w:sz w:val="36"/>
        </w:rPr>
        <w:t>Running example</w:t>
      </w:r>
    </w:p>
    <w:p>
      <w:pPr>
        <w:spacing w:after="100"/>
      </w:pPr>
      <w:r>
        <w:rPr>
          <w:rFonts w:ascii="Aptos" w:hAnsi="Aptos"/>
          <w:b w:val="0"/>
          <w:color w:val="222222"/>
          <w:sz w:val="22"/>
        </w:rPr>
        <w:t>The Order Management example uses whole-number fields such as items[].quantity, packageCount, and a long-lived eventSequence-style counter.</w:t>
      </w:r>
    </w:p>
    <w:p>
      <w:r>
        <w:rPr>
          <w:rFonts w:ascii="Aptos Display" w:hAnsi="Aptos Display"/>
          <w:b/>
          <w:color w:val="1F2937"/>
          <w:sz w:val="36"/>
        </w:rPr>
        <w:t>1. Int32 and Int64 at a glance</w:t>
      </w:r>
    </w:p>
    <w:p>
      <w:pPr>
        <w:spacing w:after="100"/>
      </w:pPr>
      <w:r>
        <w:rPr>
          <w:rFonts w:ascii="Aptos" w:hAnsi="Aptos"/>
          <w:b w:val="0"/>
          <w:color w:val="222222"/>
          <w:sz w:val="22"/>
        </w:rPr>
        <w:t>Int32 is a signed 32-bit integer BSON type. Int64 is a signed 64-bit integer BSON type. Both represent whole numbers, but Int64 provides a substantially larger range.</w:t>
      </w:r>
    </w:p>
    <w:p>
      <w:pPr>
        <w:spacing w:after="100"/>
      </w:pPr>
      <w:r>
        <w:rPr>
          <w:rFonts w:ascii="Aptos" w:hAnsi="Aptos"/>
          <w:b w:val="0"/>
          <w:color w:val="222222"/>
          <w:sz w:val="22"/>
        </w:rPr>
        <w:t>The teaching approach is range-first: define the business domain, understand possible growth, and then select a width that fits the documented requirement.</w:t>
      </w:r>
    </w:p>
    <w:p>
      <w:r>
        <w:rPr>
          <w:rFonts w:ascii="Aptos Display" w:hAnsi="Aptos Display"/>
          <w:b/>
          <w:color w:val="1F2937"/>
          <w:sz w:val="36"/>
        </w:rPr>
        <w:t>2. Choosing width from the domain</w:t>
      </w:r>
    </w:p>
    <w:p>
      <w:pPr>
        <w:spacing w:after="100"/>
      </w:pPr>
      <w:r>
        <w:rPr>
          <w:rFonts w:ascii="Aptos" w:hAnsi="Aptos"/>
          <w:b w:val="0"/>
          <w:color w:val="222222"/>
          <w:sz w:val="22"/>
        </w:rPr>
        <w:t>• Start with minimum and maximum valid values.</w:t>
      </w:r>
    </w:p>
    <w:p>
      <w:pPr>
        <w:spacing w:after="100"/>
      </w:pPr>
      <w:r>
        <w:rPr>
          <w:rFonts w:ascii="Aptos" w:hAnsi="Aptos"/>
          <w:b w:val="0"/>
          <w:color w:val="222222"/>
          <w:sz w:val="22"/>
        </w:rPr>
        <w:t>• Consider whether the field can grow over the system lifecycle.</w:t>
      </w:r>
    </w:p>
    <w:p>
      <w:pPr>
        <w:spacing w:after="100"/>
      </w:pPr>
      <w:r>
        <w:rPr>
          <w:rFonts w:ascii="Aptos" w:hAnsi="Aptos"/>
          <w:b w:val="0"/>
          <w:color w:val="222222"/>
          <w:sz w:val="22"/>
        </w:rPr>
        <w:t>• Use Int32 for bounded whole-number fields when the domain supports it.</w:t>
      </w:r>
    </w:p>
    <w:p>
      <w:pPr>
        <w:spacing w:after="100"/>
      </w:pPr>
      <w:r>
        <w:rPr>
          <w:rFonts w:ascii="Aptos" w:hAnsi="Aptos"/>
          <w:b w:val="0"/>
          <w:color w:val="222222"/>
          <w:sz w:val="22"/>
        </w:rPr>
        <w:t>• Use Int64 when the documented range requires the larger width.</w:t>
      </w:r>
    </w:p>
    <w:p>
      <w:r>
        <w:rPr>
          <w:rFonts w:ascii="Aptos Display" w:hAnsi="Aptos Display"/>
          <w:b/>
          <w:color w:val="1F2937"/>
          <w:sz w:val="36"/>
        </w:rPr>
        <w:t>3. Explicit mongosh constructors</w:t>
      </w:r>
    </w:p>
    <w:p>
      <w:pPr>
        <w:spacing w:after="0"/>
        <w:ind w:left="360"/>
      </w:pPr>
      <w:r>
        <w:rPr>
          <w:rFonts w:ascii="Aptos Mono" w:hAnsi="Aptos Mono"/>
          <w:color w:val="1E6F4A"/>
          <w:sz w:val="18"/>
        </w:rPr>
        <w:t>NumberInt(10)</w:t>
      </w:r>
    </w:p>
    <w:p>
      <w:pPr>
        <w:spacing w:after="0"/>
        <w:ind w:left="360"/>
      </w:pPr>
      <w:r>
        <w:rPr>
          <w:rFonts w:ascii="Aptos Mono" w:hAnsi="Aptos Mono"/>
          <w:color w:val="1E6F4A"/>
          <w:sz w:val="18"/>
        </w:rPr>
        <w:t>NumberLong(10)</w:t>
      </w:r>
    </w:p>
    <w:p>
      <w:pPr>
        <w:spacing w:after="0"/>
        <w:ind w:left="360"/>
      </w:pPr>
      <w:r>
        <w:rPr>
          <w:rFonts w:ascii="Aptos Mono" w:hAnsi="Aptos Mono"/>
          <w:color w:val="1E6F4A"/>
          <w:sz w:val="18"/>
        </w:rPr>
      </w:r>
    </w:p>
    <w:p>
      <w:pPr>
        <w:spacing w:after="0"/>
        <w:ind w:left="360"/>
      </w:pPr>
      <w:r>
        <w:rPr>
          <w:rFonts w:ascii="Aptos Mono" w:hAnsi="Aptos Mono"/>
          <w:color w:val="1E6F4A"/>
          <w:sz w:val="18"/>
        </w:rPr>
        <w:t>db.integer_examples.insertOne({</w:t>
      </w:r>
    </w:p>
    <w:p>
      <w:pPr>
        <w:spacing w:after="0"/>
        <w:ind w:left="360"/>
      </w:pPr>
      <w:r>
        <w:rPr>
          <w:rFonts w:ascii="Aptos Mono" w:hAnsi="Aptos Mono"/>
          <w:color w:val="1E6F4A"/>
          <w:sz w:val="18"/>
        </w:rPr>
        <w:t xml:space="preserve">  qty32: NumberInt(10),</w:t>
      </w:r>
    </w:p>
    <w:p>
      <w:pPr>
        <w:spacing w:after="0"/>
        <w:ind w:left="360"/>
      </w:pPr>
      <w:r>
        <w:rPr>
          <w:rFonts w:ascii="Aptos Mono" w:hAnsi="Aptos Mono"/>
          <w:color w:val="1E6F4A"/>
          <w:sz w:val="18"/>
        </w:rPr>
        <w:t xml:space="preserve">  qty64: NumberLong(10)</w:t>
      </w:r>
    </w:p>
    <w:p>
      <w:pPr>
        <w:spacing w:after="0"/>
        <w:ind w:left="360"/>
      </w:pPr>
      <w:r>
        <w:rPr>
          <w:rFonts w:ascii="Aptos Mono" w:hAnsi="Aptos Mono"/>
          <w:color w:val="1E6F4A"/>
          <w:sz w:val="18"/>
        </w:rPr>
        <w:t>})</w:t>
      </w:r>
    </w:p>
    <w:p>
      <w:pPr>
        <w:spacing w:after="100"/>
      </w:pPr>
      <w:r>
        <w:rPr>
          <w:rFonts w:ascii="Aptos" w:hAnsi="Aptos"/>
          <w:b w:val="0"/>
          <w:color w:val="222222"/>
          <w:sz w:val="22"/>
        </w:rPr>
        <w:t>Explicit constructors are useful in demos and test fixtures because the intended BSON integer width is visible in the source.</w:t>
      </w:r>
    </w:p>
    <w:p>
      <w:r>
        <w:rPr>
          <w:rFonts w:ascii="Aptos Display" w:hAnsi="Aptos Display"/>
          <w:b/>
          <w:color w:val="1F2937"/>
          <w:sz w:val="36"/>
        </w:rPr>
        <w:t>4. Verify the stored BSON type</w:t>
      </w:r>
    </w:p>
    <w:p>
      <w:pPr>
        <w:spacing w:after="0"/>
        <w:ind w:left="360"/>
      </w:pPr>
      <w:r>
        <w:rPr>
          <w:rFonts w:ascii="Aptos Mono" w:hAnsi="Aptos Mono"/>
          <w:color w:val="1E6F4A"/>
          <w:sz w:val="18"/>
        </w:rPr>
        <w:t>db.integer_examples.aggregate([</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$project: {</w:t>
      </w:r>
    </w:p>
    <w:p>
      <w:pPr>
        <w:spacing w:after="0"/>
        <w:ind w:left="360"/>
      </w:pPr>
      <w:r>
        <w:rPr>
          <w:rFonts w:ascii="Aptos Mono" w:hAnsi="Aptos Mono"/>
          <w:color w:val="1E6F4A"/>
          <w:sz w:val="18"/>
        </w:rPr>
        <w:t xml:space="preserve">      _id: 0,</w:t>
      </w:r>
    </w:p>
    <w:p>
      <w:pPr>
        <w:spacing w:after="0"/>
        <w:ind w:left="360"/>
      </w:pPr>
      <w:r>
        <w:rPr>
          <w:rFonts w:ascii="Aptos Mono" w:hAnsi="Aptos Mono"/>
          <w:color w:val="1E6F4A"/>
          <w:sz w:val="18"/>
        </w:rPr>
        <w:t xml:space="preserve">      qty32Type: { $type: "$qty32" },</w:t>
      </w:r>
    </w:p>
    <w:p>
      <w:pPr>
        <w:spacing w:after="0"/>
        <w:ind w:left="360"/>
      </w:pPr>
      <w:r>
        <w:rPr>
          <w:rFonts w:ascii="Aptos Mono" w:hAnsi="Aptos Mono"/>
          <w:color w:val="1E6F4A"/>
          <w:sz w:val="18"/>
        </w:rPr>
        <w:t xml:space="preserve">      qty64Type: { $type: "$qty64"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w:t>
      </w:r>
    </w:p>
    <w:p>
      <w:pPr>
        <w:spacing w:after="100"/>
      </w:pPr>
      <w:r>
        <w:rPr>
          <w:rFonts w:ascii="Aptos" w:hAnsi="Aptos"/>
          <w:b w:val="0"/>
          <w:color w:val="222222"/>
          <w:sz w:val="22"/>
        </w:rPr>
        <w:t>Use $type when the actual stored BSON type matters. A number rendered as 10 is not enough evidence to establish whether it is stored as int or long.</w:t>
      </w:r>
    </w:p>
    <w:p>
      <w:r>
        <w:rPr>
          <w:rFonts w:ascii="Aptos Display" w:hAnsi="Aptos Display"/>
          <w:b/>
          <w:color w:val="1F2937"/>
          <w:sz w:val="36"/>
        </w:rPr>
        <w:t>5. Runtime mapping</w:t>
      </w:r>
    </w:p>
    <w:p>
      <w:pPr>
        <w:spacing w:after="100"/>
      </w:pPr>
      <w:r>
        <w:rPr>
          <w:rFonts w:ascii="Aptos" w:hAnsi="Aptos"/>
          <w:b w:val="0"/>
          <w:color w:val="222222"/>
          <w:sz w:val="22"/>
        </w:rPr>
        <w:t>An application runtime may have its own numeric model, while a MongoDB driver maps values into BSON types. Treat that mapping as a separate boundary. Important whole-number fields should be validated at the storage boundary rather than inferred from application code alone.</w:t>
      </w:r>
    </w:p>
    <w:p>
      <w:r>
        <w:rPr>
          <w:rFonts w:ascii="Aptos Display" w:hAnsi="Aptos Display"/>
          <w:b/>
          <w:color w:val="1F2937"/>
          <w:sz w:val="36"/>
        </w:rPr>
        <w:t>6. Order Management field map</w:t>
      </w:r>
    </w:p>
    <w:tbl>
      <w:tblPr>
        <w:tblW w:type="auto" w:w="0"/>
        <w:tblLook w:firstColumn="1" w:firstRow="1" w:lastColumn="0" w:lastRow="0" w:noHBand="0" w:noVBand="1" w:val="04A0"/>
      </w:tblPr>
      <w:tblGrid>
        <w:gridCol w:w="2556"/>
        <w:gridCol w:w="2556"/>
        <w:gridCol w:w="2556"/>
        <w:gridCol w:w="2556"/>
      </w:tblGrid>
      <w:tr>
        <w:tc>
          <w:tcPr>
            <w:tcW w:type="dxa" w:w="2556"/>
          </w:tcPr>
          <w:p>
            <w:r>
              <w:rPr>
                <w:b/>
              </w:rPr>
              <w:t>Field</w:t>
            </w:r>
          </w:p>
        </w:tc>
        <w:tc>
          <w:tcPr>
            <w:tcW w:type="dxa" w:w="2556"/>
          </w:tcPr>
          <w:p>
            <w:r>
              <w:rPr>
                <w:b/>
              </w:rPr>
              <w:t>Business meaning</w:t>
            </w:r>
          </w:p>
        </w:tc>
        <w:tc>
          <w:tcPr>
            <w:tcW w:type="dxa" w:w="2556"/>
          </w:tcPr>
          <w:p>
            <w:r>
              <w:rPr>
                <w:b/>
              </w:rPr>
              <w:t>Width question</w:t>
            </w:r>
          </w:p>
        </w:tc>
        <w:tc>
          <w:tcPr>
            <w:tcW w:type="dxa" w:w="2556"/>
          </w:tcPr>
          <w:p>
            <w:r>
              <w:rPr>
                <w:b/>
              </w:rPr>
              <w:t>Developer action</w:t>
            </w:r>
          </w:p>
        </w:tc>
      </w:tr>
      <w:tr>
        <w:tc>
          <w:tcPr>
            <w:tcW w:type="dxa" w:w="2556"/>
          </w:tcPr>
          <w:p>
            <w:r>
              <w:t>items[].quantity</w:t>
            </w:r>
          </w:p>
        </w:tc>
        <w:tc>
          <w:tcPr>
            <w:tcW w:type="dxa" w:w="2556"/>
          </w:tcPr>
          <w:p>
            <w:r>
              <w:t>Count of units</w:t>
            </w:r>
          </w:p>
        </w:tc>
        <w:tc>
          <w:tcPr>
            <w:tcW w:type="dxa" w:w="2556"/>
          </w:tcPr>
          <w:p>
            <w:r>
              <w:t>Bounded?</w:t>
            </w:r>
          </w:p>
        </w:tc>
        <w:tc>
          <w:tcPr>
            <w:tcW w:type="dxa" w:w="2556"/>
          </w:tcPr>
          <w:p>
            <w:r>
              <w:t>Document domain</w:t>
            </w:r>
          </w:p>
        </w:tc>
      </w:tr>
      <w:tr>
        <w:tc>
          <w:tcPr>
            <w:tcW w:type="dxa" w:w="2556"/>
          </w:tcPr>
          <w:p>
            <w:r>
              <w:t>packageCount</w:t>
            </w:r>
          </w:p>
        </w:tc>
        <w:tc>
          <w:tcPr>
            <w:tcW w:type="dxa" w:w="2556"/>
          </w:tcPr>
          <w:p>
            <w:r>
              <w:t>Operational count</w:t>
            </w:r>
          </w:p>
        </w:tc>
        <w:tc>
          <w:tcPr>
            <w:tcW w:type="dxa" w:w="2556"/>
          </w:tcPr>
          <w:p>
            <w:r>
              <w:t>Can it grow?</w:t>
            </w:r>
          </w:p>
        </w:tc>
        <w:tc>
          <w:tcPr>
            <w:tcW w:type="dxa" w:w="2556"/>
          </w:tcPr>
          <w:p>
            <w:r>
              <w:t>Review max</w:t>
            </w:r>
          </w:p>
        </w:tc>
      </w:tr>
      <w:tr>
        <w:tc>
          <w:tcPr>
            <w:tcW w:type="dxa" w:w="2556"/>
          </w:tcPr>
          <w:p>
            <w:r>
              <w:t>eventSequence</w:t>
            </w:r>
          </w:p>
        </w:tc>
        <w:tc>
          <w:tcPr>
            <w:tcW w:type="dxa" w:w="2556"/>
          </w:tcPr>
          <w:p>
            <w:r>
              <w:t>Long-lived counter</w:t>
            </w:r>
          </w:p>
        </w:tc>
        <w:tc>
          <w:tcPr>
            <w:tcW w:type="dxa" w:w="2556"/>
          </w:tcPr>
          <w:p>
            <w:r>
              <w:t>Could range exceed Int32?</w:t>
            </w:r>
          </w:p>
        </w:tc>
        <w:tc>
          <w:tcPr>
            <w:tcW w:type="dxa" w:w="2556"/>
          </w:tcPr>
          <w:p>
            <w:r>
              <w:t>Consider Int64</w:t>
            </w:r>
          </w:p>
        </w:tc>
      </w:tr>
      <w:tr>
        <w:tc>
          <w:tcPr>
            <w:tcW w:type="dxa" w:w="2556"/>
          </w:tcPr>
          <w:p>
            <w:r>
              <w:t>payment.amount</w:t>
            </w:r>
          </w:p>
        </w:tc>
        <w:tc>
          <w:tcPr>
            <w:tcW w:type="dxa" w:w="2556"/>
          </w:tcPr>
          <w:p>
            <w:r>
              <w:t>Monetary value</w:t>
            </w:r>
          </w:p>
        </w:tc>
        <w:tc>
          <w:tcPr>
            <w:tcW w:type="dxa" w:w="2556"/>
          </w:tcPr>
          <w:p>
            <w:r>
              <w:t>Precision is the focus</w:t>
            </w:r>
          </w:p>
        </w:tc>
        <w:tc>
          <w:tcPr>
            <w:tcW w:type="dxa" w:w="2556"/>
          </w:tcPr>
          <w:p>
            <w:r>
              <w:t>Defer to later lesson</w:t>
            </w:r>
          </w:p>
        </w:tc>
      </w:tr>
    </w:tbl>
    <w:p>
      <w:r>
        <w:rPr>
          <w:rFonts w:ascii="Aptos Display" w:hAnsi="Aptos Display"/>
          <w:b/>
          <w:color w:val="1F2937"/>
          <w:sz w:val="36"/>
        </w:rPr>
        <w:t>7. Demo</w:t>
      </w:r>
    </w:p>
    <w:p>
      <w:pPr>
        <w:spacing w:after="100"/>
      </w:pPr>
      <w:r>
        <w:rPr>
          <w:rFonts w:ascii="Aptos" w:hAnsi="Aptos"/>
          <w:b w:val="0"/>
          <w:color w:val="222222"/>
          <w:sz w:val="22"/>
        </w:rPr>
        <w:t>The companion mongosh script creates an order with explicit Int32 quantities and package count plus an Int64 sequence value. It reads the order and then uses $type to verify the stored BSON integer types.</w:t>
      </w:r>
    </w:p>
    <w:p>
      <w:pPr>
        <w:spacing w:after="0"/>
        <w:ind w:left="360"/>
      </w:pPr>
      <w:r>
        <w:rPr>
          <w:rFonts w:ascii="Aptos Mono" w:hAnsi="Aptos Mono"/>
          <w:color w:val="1E6F4A"/>
          <w:sz w:val="18"/>
        </w:rPr>
        <w:t>use lesson042_int_width</w:t>
      </w:r>
    </w:p>
    <w:p>
      <w:pPr>
        <w:spacing w:after="0"/>
        <w:ind w:left="360"/>
      </w:pPr>
      <w:r>
        <w:rPr>
          <w:rFonts w:ascii="Aptos Mono" w:hAnsi="Aptos Mono"/>
          <w:color w:val="1E6F4A"/>
          <w:sz w:val="18"/>
        </w:rPr>
      </w:r>
    </w:p>
    <w:p>
      <w:pPr>
        <w:spacing w:after="0"/>
        <w:ind w:left="360"/>
      </w:pPr>
      <w:r>
        <w:rPr>
          <w:rFonts w:ascii="Aptos Mono" w:hAnsi="Aptos Mono"/>
          <w:color w:val="1E6F4A"/>
          <w:sz w:val="18"/>
        </w:rPr>
        <w:t>db.dropDatabase()</w:t>
      </w:r>
    </w:p>
    <w:p>
      <w:pPr>
        <w:spacing w:after="0"/>
        <w:ind w:left="360"/>
      </w:pPr>
      <w:r>
        <w:rPr>
          <w:rFonts w:ascii="Aptos Mono" w:hAnsi="Aptos Mono"/>
          <w:color w:val="1E6F4A"/>
          <w:sz w:val="18"/>
        </w:rPr>
      </w:r>
    </w:p>
    <w:p>
      <w:pPr>
        <w:spacing w:after="0"/>
        <w:ind w:left="360"/>
      </w:pPr>
      <w:r>
        <w:rPr>
          <w:rFonts w:ascii="Aptos Mono" w:hAnsi="Aptos Mono"/>
          <w:color w:val="1E6F4A"/>
          <w:sz w:val="18"/>
        </w:rPr>
        <w:t>db.orders.insertOne({</w:t>
      </w:r>
    </w:p>
    <w:p>
      <w:pPr>
        <w:spacing w:after="0"/>
        <w:ind w:left="360"/>
      </w:pPr>
      <w:r>
        <w:rPr>
          <w:rFonts w:ascii="Aptos Mono" w:hAnsi="Aptos Mono"/>
          <w:color w:val="1E6F4A"/>
          <w:sz w:val="18"/>
        </w:rPr>
        <w:t xml:space="preserve">  orderId: "ORD-4201",</w:t>
      </w:r>
    </w:p>
    <w:p>
      <w:pPr>
        <w:spacing w:after="0"/>
        <w:ind w:left="360"/>
      </w:pPr>
      <w:r>
        <w:rPr>
          <w:rFonts w:ascii="Aptos Mono" w:hAnsi="Aptos Mono"/>
          <w:color w:val="1E6F4A"/>
          <w:sz w:val="18"/>
        </w:rPr>
        <w:t xml:space="preserve">  items: [</w:t>
      </w:r>
    </w:p>
    <w:p>
      <w:pPr>
        <w:spacing w:after="0"/>
        <w:ind w:left="360"/>
      </w:pPr>
      <w:r>
        <w:rPr>
          <w:rFonts w:ascii="Aptos Mono" w:hAnsi="Aptos Mono"/>
          <w:color w:val="1E6F4A"/>
          <w:sz w:val="18"/>
        </w:rPr>
        <w:t xml:space="preserve">    { productId: "P100", quantity: NumberInt(2) },</w:t>
      </w:r>
    </w:p>
    <w:p>
      <w:pPr>
        <w:spacing w:after="0"/>
        <w:ind w:left="360"/>
      </w:pPr>
      <w:r>
        <w:rPr>
          <w:rFonts w:ascii="Aptos Mono" w:hAnsi="Aptos Mono"/>
          <w:color w:val="1E6F4A"/>
          <w:sz w:val="18"/>
        </w:rPr>
        <w:t xml:space="preserve">    { productId: "P200", quantity: NumberInt(5)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packageCount: NumberInt(3),</w:t>
      </w:r>
    </w:p>
    <w:p>
      <w:pPr>
        <w:spacing w:after="0"/>
        <w:ind w:left="360"/>
      </w:pPr>
      <w:r>
        <w:rPr>
          <w:rFonts w:ascii="Aptos Mono" w:hAnsi="Aptos Mono"/>
          <w:color w:val="1E6F4A"/>
          <w:sz w:val="18"/>
        </w:rPr>
        <w:t xml:space="preserve">  eventSequence: NumberLong(2500000000)</w:t>
      </w:r>
    </w:p>
    <w:p>
      <w:pPr>
        <w:spacing w:after="0"/>
        <w:ind w:left="360"/>
      </w:pPr>
      <w:r>
        <w:rPr>
          <w:rFonts w:ascii="Aptos Mono" w:hAnsi="Aptos Mono"/>
          <w:color w:val="1E6F4A"/>
          <w:sz w:val="18"/>
        </w:rPr>
        <w:t>})</w:t>
      </w:r>
    </w:p>
    <w:p>
      <w:pPr>
        <w:spacing w:after="0"/>
        <w:ind w:left="360"/>
      </w:pPr>
      <w:r>
        <w:rPr>
          <w:rFonts w:ascii="Aptos Mono" w:hAnsi="Aptos Mono"/>
          <w:color w:val="1E6F4A"/>
          <w:sz w:val="18"/>
        </w:rPr>
      </w:r>
    </w:p>
    <w:p>
      <w:pPr>
        <w:spacing w:after="0"/>
        <w:ind w:left="360"/>
      </w:pPr>
      <w:r>
        <w:rPr>
          <w:rFonts w:ascii="Aptos Mono" w:hAnsi="Aptos Mono"/>
          <w:color w:val="1E6F4A"/>
          <w:sz w:val="18"/>
        </w:rPr>
        <w:t>db.orders.aggregate([</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$project: {</w:t>
      </w:r>
    </w:p>
    <w:p>
      <w:pPr>
        <w:spacing w:after="0"/>
        <w:ind w:left="360"/>
      </w:pPr>
      <w:r>
        <w:rPr>
          <w:rFonts w:ascii="Aptos Mono" w:hAnsi="Aptos Mono"/>
          <w:color w:val="1E6F4A"/>
          <w:sz w:val="18"/>
        </w:rPr>
        <w:t xml:space="preserve">      _id: 0,</w:t>
      </w:r>
    </w:p>
    <w:p>
      <w:pPr>
        <w:spacing w:after="0"/>
        <w:ind w:left="360"/>
      </w:pPr>
      <w:r>
        <w:rPr>
          <w:rFonts w:ascii="Aptos Mono" w:hAnsi="Aptos Mono"/>
          <w:color w:val="1E6F4A"/>
          <w:sz w:val="18"/>
        </w:rPr>
        <w:t xml:space="preserve">      orderId: 1,</w:t>
      </w:r>
    </w:p>
    <w:p>
      <w:pPr>
        <w:spacing w:after="0"/>
        <w:ind w:left="360"/>
      </w:pPr>
      <w:r>
        <w:rPr>
          <w:rFonts w:ascii="Aptos Mono" w:hAnsi="Aptos Mono"/>
          <w:color w:val="1E6F4A"/>
          <w:sz w:val="18"/>
        </w:rPr>
        <w:t xml:space="preserve">      quantityTypes: {</w:t>
      </w:r>
    </w:p>
    <w:p>
      <w:pPr>
        <w:spacing w:after="0"/>
        <w:ind w:left="360"/>
      </w:pPr>
      <w:r>
        <w:rPr>
          <w:rFonts w:ascii="Aptos Mono" w:hAnsi="Aptos Mono"/>
          <w:color w:val="1E6F4A"/>
          <w:sz w:val="18"/>
        </w:rPr>
        <w:t xml:space="preserve">        $map: {</w:t>
      </w:r>
    </w:p>
    <w:p>
      <w:pPr>
        <w:spacing w:after="0"/>
        <w:ind w:left="360"/>
      </w:pPr>
      <w:r>
        <w:rPr>
          <w:rFonts w:ascii="Aptos Mono" w:hAnsi="Aptos Mono"/>
          <w:color w:val="1E6F4A"/>
          <w:sz w:val="18"/>
        </w:rPr>
        <w:t xml:space="preserve">          input: "$items",</w:t>
      </w:r>
    </w:p>
    <w:p>
      <w:pPr>
        <w:spacing w:after="0"/>
        <w:ind w:left="360"/>
      </w:pPr>
      <w:r>
        <w:rPr>
          <w:rFonts w:ascii="Aptos Mono" w:hAnsi="Aptos Mono"/>
          <w:color w:val="1E6F4A"/>
          <w:sz w:val="18"/>
        </w:rPr>
        <w:t xml:space="preserve">          as: "i",</w:t>
      </w:r>
    </w:p>
    <w:p>
      <w:pPr>
        <w:spacing w:after="0"/>
        <w:ind w:left="360"/>
      </w:pPr>
      <w:r>
        <w:rPr>
          <w:rFonts w:ascii="Aptos Mono" w:hAnsi="Aptos Mono"/>
          <w:color w:val="1E6F4A"/>
          <w:sz w:val="18"/>
        </w:rPr>
        <w:t xml:space="preserve">          in: { $type: "$$i.quantity"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packageCountType: { $type: "$packageCount" },</w:t>
      </w:r>
    </w:p>
    <w:p>
      <w:pPr>
        <w:spacing w:after="0"/>
        <w:ind w:left="360"/>
      </w:pPr>
      <w:r>
        <w:rPr>
          <w:rFonts w:ascii="Aptos Mono" w:hAnsi="Aptos Mono"/>
          <w:color w:val="1E6F4A"/>
          <w:sz w:val="18"/>
        </w:rPr>
        <w:t xml:space="preserve">      eventSequenceType: { $type: "$eventSequence"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 xml:space="preserve">  }</w:t>
      </w:r>
    </w:p>
    <w:p>
      <w:pPr>
        <w:spacing w:after="0"/>
        <w:ind w:left="360"/>
      </w:pPr>
      <w:r>
        <w:rPr>
          <w:rFonts w:ascii="Aptos Mono" w:hAnsi="Aptos Mono"/>
          <w:color w:val="1E6F4A"/>
          <w:sz w:val="18"/>
        </w:rPr>
        <w:t>])</w:t>
      </w:r>
    </w:p>
    <w:p>
      <w:r>
        <w:rPr>
          <w:rFonts w:ascii="Aptos Display" w:hAnsi="Aptos Display"/>
          <w:b/>
          <w:color w:val="1F2937"/>
          <w:sz w:val="36"/>
        </w:rPr>
        <w:t>Developer checklist</w:t>
      </w:r>
    </w:p>
    <w:p>
      <w:pPr>
        <w:spacing w:after="100"/>
      </w:pPr>
      <w:r>
        <w:rPr>
          <w:rFonts w:ascii="Aptos" w:hAnsi="Aptos"/>
          <w:b w:val="0"/>
          <w:color w:val="222222"/>
          <w:sz w:val="22"/>
        </w:rPr>
        <w:t>□ Define the valid range before choosing integer width.</w:t>
      </w:r>
    </w:p>
    <w:p>
      <w:pPr>
        <w:spacing w:after="100"/>
      </w:pPr>
      <w:r>
        <w:rPr>
          <w:rFonts w:ascii="Aptos" w:hAnsi="Aptos"/>
          <w:b w:val="0"/>
          <w:color w:val="222222"/>
          <w:sz w:val="22"/>
        </w:rPr>
        <w:t>□ Use Int32 for bounded whole-number fields when the domain fits.</w:t>
      </w:r>
    </w:p>
    <w:p>
      <w:pPr>
        <w:spacing w:after="100"/>
      </w:pPr>
      <w:r>
        <w:rPr>
          <w:rFonts w:ascii="Aptos" w:hAnsi="Aptos"/>
          <w:b w:val="0"/>
          <w:color w:val="222222"/>
          <w:sz w:val="22"/>
        </w:rPr>
        <w:t>□ Use Int64 when a documented range or lifecycle requires the larger width.</w:t>
      </w:r>
    </w:p>
    <w:p>
      <w:pPr>
        <w:spacing w:after="100"/>
      </w:pPr>
      <w:r>
        <w:rPr>
          <w:rFonts w:ascii="Aptos" w:hAnsi="Aptos"/>
          <w:b w:val="0"/>
          <w:color w:val="222222"/>
          <w:sz w:val="22"/>
        </w:rPr>
        <w:t>□ Use NumberInt() and NumberLong() when explicit type intent is helpful in mongosh.</w:t>
      </w:r>
    </w:p>
    <w:p>
      <w:pPr>
        <w:spacing w:after="100"/>
      </w:pPr>
      <w:r>
        <w:rPr>
          <w:rFonts w:ascii="Aptos" w:hAnsi="Aptos"/>
          <w:b w:val="0"/>
          <w:color w:val="222222"/>
          <w:sz w:val="22"/>
        </w:rPr>
        <w:t>□ Verify stored BSON type with $type.</w:t>
      </w:r>
    </w:p>
    <w:p>
      <w:pPr>
        <w:spacing w:after="100"/>
      </w:pPr>
      <w:r>
        <w:rPr>
          <w:rFonts w:ascii="Aptos" w:hAnsi="Aptos"/>
          <w:b w:val="0"/>
          <w:color w:val="222222"/>
          <w:sz w:val="22"/>
        </w:rPr>
        <w:t>□ Keep monetary precision decisions separate from integer-width decisions.</w:t>
      </w:r>
    </w:p>
    <w:p>
      <w:r>
        <w:rPr>
          <w:rFonts w:ascii="Aptos Display" w:hAnsi="Aptos Display"/>
          <w:b/>
          <w:color w:val="1F2937"/>
          <w:sz w:val="36"/>
        </w:rPr>
        <w:t>References</w:t>
      </w:r>
    </w:p>
    <w:p>
      <w:pPr>
        <w:spacing w:after="100"/>
      </w:pPr>
      <w:r>
        <w:rPr>
          <w:rFonts w:ascii="Aptos" w:hAnsi="Aptos"/>
          <w:b w:val="0"/>
          <w:color w:val="222222"/>
          <w:sz w:val="22"/>
        </w:rPr>
        <w:t>MongoDB Manual — BSON Types: https://www.mongodb.com/docs/manual/reference/bson-types/</w:t>
      </w:r>
    </w:p>
    <w:p>
      <w:pPr>
        <w:spacing w:after="100"/>
      </w:pPr>
      <w:r>
        <w:rPr>
          <w:rFonts w:ascii="Aptos" w:hAnsi="Aptos"/>
          <w:b w:val="0"/>
          <w:color w:val="222222"/>
          <w:sz w:val="22"/>
        </w:rPr>
        <w:t>MongoDB Manual — $type aggregation expression: https://www.mongodb.com/docs/manual/reference/operator/aggregation/type/</w:t>
      </w:r>
    </w:p>
    <w:sectPr w:rsidR="00FC693F" w:rsidRPr="0006063C" w:rsidSect="00034616">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