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A66A"/>
          <w:sz w:val="30"/>
        </w:rPr>
        <w:t>Lesson 042</w:t>
      </w:r>
    </w:p>
    <w:p>
      <w:pPr>
        <w:jc w:val="center"/>
      </w:pPr>
      <w:r>
        <w:rPr>
          <w:b/>
          <w:sz w:val="40"/>
        </w:rPr>
        <w:t>Speaker Notes — Int32 and Int64</w:t>
      </w:r>
    </w:p>
    <w:p>
      <w:r>
        <w:rPr>
          <w:rFonts w:ascii="Aptos Display" w:hAnsi="Aptos Display"/>
          <w:b/>
          <w:color w:val="1F2937"/>
          <w:sz w:val="34"/>
        </w:rPr>
        <w:t>Slide 1 — Opening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Frame the lesson around one design question: how much range does a whole-number field really need? Introduce Int32 and Int64 as two distinct BSON integer types and explain that the Order Management example will make the decision concrete.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Int32 and Int64 are both whole-number BSON types.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Range is the core design question.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The constructors make type intent visible in mongosh.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Ask: “Would you choose a type from today’s value or from the field’s valid range?”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explain why the range matters.</w:t>
      </w:r>
    </w:p>
    <w:p>
      <w:r>
        <w:rPr>
          <w:rFonts w:ascii="Aptos Display" w:hAnsi="Aptos Display"/>
          <w:b/>
          <w:color w:val="1F2937"/>
          <w:sz w:val="34"/>
        </w:rPr>
        <w:t>Slide 2 — Why width matters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Explain that the current value does not define the lifetime of a field. A quantity may stay small, while a sequence or counter may grow for years. The developer should document the range before choosing a width.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Current value is only one point in time.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Counters and sequences can grow.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Bounded fields can often use a smaller width when the domain supports it.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 learners for a field in an order system that could grow continuously.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compare Int32 and Int64.</w:t>
      </w:r>
    </w:p>
    <w:p>
      <w:r>
        <w:rPr>
          <w:rFonts w:ascii="Aptos Display" w:hAnsi="Aptos Display"/>
          <w:b/>
          <w:color w:val="1F2937"/>
          <w:sz w:val="34"/>
        </w:rPr>
        <w:t>Slide 3 — Int32 vs Int64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Describe the two widths conceptually. Int32 is a 32-bit signed integer and Int64 is a 64-bit signed integer. Emphasize that both are whole numbers; the practical difference for this lesson is the range they can represent.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Both are integer BSON types.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Int64 has the larger range.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Select from documented domain requirements.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Ask: “What makes a long-lived sequence different from a bounded quantity?”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apply that thinking to quantity.</w:t>
      </w:r>
    </w:p>
    <w:p>
      <w:r>
        <w:rPr>
          <w:rFonts w:ascii="Aptos Display" w:hAnsi="Aptos Display"/>
          <w:b/>
          <w:color w:val="1F2937"/>
          <w:sz w:val="34"/>
        </w:rPr>
        <w:t>Slide 4 — Order Management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Use items[].quantity as the bounded example. Walk through maximum valid value, growth over time, and what the application expects. The goal is to teach a repeatable decision process, not to force a universal type choice.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Define the business range.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Consider growth.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Verify application expectations.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Ask: “What information is missing if I only tell you the current quantity is 2?”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show explicit constructors in mongosh.</w:t>
      </w:r>
    </w:p>
    <w:p>
      <w:r>
        <w:rPr>
          <w:rFonts w:ascii="Aptos Display" w:hAnsi="Aptos Display"/>
          <w:b/>
          <w:color w:val="1F2937"/>
          <w:sz w:val="34"/>
        </w:rPr>
        <w:t>Slide 5 — mongosh constructors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Run NumberInt(10) and NumberLong(10). Explain that constructors are useful when a script needs to communicate integer width explicitly. This is especially helpful for test fixtures and learning exercises.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Constructor form exposes intent.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Use it when the exact BSON integer type matters to the example.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Do not mix this with floating-point precision.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Ask: “Why is explicit type syntax valuable in a test fixture?”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verify the stored BSON type.</w:t>
      </w:r>
    </w:p>
    <w:p>
      <w:r>
        <w:rPr>
          <w:rFonts w:ascii="Aptos Display" w:hAnsi="Aptos Display"/>
          <w:b/>
          <w:color w:val="1F2937"/>
          <w:sz w:val="34"/>
        </w:rPr>
        <w:t>Slide 6 — $type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Show a small document with qty32 and qty64 and use $type in an aggregation. Explain that this is the verification layer: MongoDB can tell us whether the stored value is int or long.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Use $type as evidence.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Do not infer width from visual appearance.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Nested fields can also be inspected.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 learners to predict the two outputs before executing the aggregation.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connect storage type back to application mapping.</w:t>
      </w:r>
    </w:p>
    <w:p>
      <w:r>
        <w:rPr>
          <w:rFonts w:ascii="Aptos Display" w:hAnsi="Aptos Display"/>
          <w:b/>
          <w:color w:val="1F2937"/>
          <w:sz w:val="34"/>
        </w:rPr>
        <w:t>Slide 7 — Runtime mapping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Explain the three layers: application runtime, driver mapping, and MongoDB storage. A runtime numeric value is not the same thing as a BSON type. This mental model is important when diagnosing serialization or schema inconsistencies.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Runtime and storage are different layers.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The driver is the mapping boundary.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Verify important fields at the storage side.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Ask: “Which layer would you inspect first when the stored BSON type is unexpected?”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map the idea to more order fields.</w:t>
      </w:r>
    </w:p>
    <w:p>
      <w:r>
        <w:rPr>
          <w:rFonts w:ascii="Aptos Display" w:hAnsi="Aptos Display"/>
          <w:b/>
          <w:color w:val="1F2937"/>
          <w:sz w:val="34"/>
        </w:rPr>
        <w:t>Slide 8 — Field map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Contrast quantity, packageCount, eventSequence, and payment.amount. Explicitly call out that payment.amount is not being solved here; its main concern is decimal precision, which is handled in a later lesson.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Quantity is a count-like value.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Sequence values can have larger lifecycle ranges.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Keep precision-sensitive amounts separate from integer-width decisions.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 learners to classify each field as bounded count, growing counter, or precision-sensitive amount.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run the demo.</w:t>
      </w:r>
    </w:p>
    <w:p>
      <w:r>
        <w:rPr>
          <w:rFonts w:ascii="Aptos Display" w:hAnsi="Aptos Display"/>
          <w:b/>
          <w:color w:val="1F2937"/>
          <w:sz w:val="34"/>
        </w:rPr>
        <w:t>Slide 9 — Demo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Run the script in stages. First inspect the order, then run the $type aggregation. The important output should be read as a statement about storage, not just as shell syntax.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Create a clean database.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Store explicit Int32 and Int64 values.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Verify them with $type.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Relate the types to the business range.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 learners to explain why eventSequence is the Int64 example in the demo.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summarize the decision model.</w:t>
      </w:r>
    </w:p>
    <w:p>
      <w:r>
        <w:rPr>
          <w:rFonts w:ascii="Aptos Display" w:hAnsi="Aptos Display"/>
          <w:b/>
          <w:color w:val="1F2937"/>
          <w:sz w:val="34"/>
        </w:rPr>
        <w:t>Slide 10 — Summary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Close with three steps: define range, choose width, verify mapping. The developer should be able to justify the type from the domain and confirm the actual BSON type in MongoDB.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Range drives width.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Int32 and Int64 are distinct BSON types.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$type verifies storage.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Precision is a separate later topic.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Final check: “Explain quantity and eventSequence through domain range, width, and stored BSON type.”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Transition into numeric arithmetic and floating-point precision.</w:t>
      </w:r>
    </w:p>
    <w:p>
      <w:r>
        <w:rPr>
          <w:rFonts w:ascii="Aptos Display" w:hAnsi="Aptos Display"/>
          <w:b/>
          <w:color w:val="1F2937"/>
          <w:sz w:val="36"/>
        </w:rPr>
        <w:t>Live-demo callouts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Ask for the range before naming a type.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Use NumberInt() and NumberLong() when the example should make BSON intent explicit.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Use $type as the evidence layer.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Do not drift into Decimal128 or floating-point precision yet.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