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eastAsia="Aptos"/>
          <w:b/>
          <w:color w:val="FF9800"/>
          <w:sz w:val="44"/>
        </w:rPr>
        <w:t>Introduction</w:t>
      </w:r>
    </w:p>
    <w:p>
      <w:r>
        <w:rPr>
          <w:rFonts w:ascii="Aptos" w:hAnsi="Aptos" w:eastAsia="Aptos"/>
          <w:b w:val="0"/>
          <w:color w:val="5F6B78"/>
          <w:sz w:val="20"/>
        </w:rPr>
        <w:t>MongoDB Developer Learning Path — opening lesson</w:t>
      </w:r>
    </w:p>
    <w:p>
      <w:pPr>
        <w:spacing w:after="160"/>
        <w:pBdr>
          <w:bottom w:val="single" w:sz="14" w:space="1" w:color="FF9800"/>
        </w:pBdr>
      </w:pPr>
      <w:r/>
    </w:p>
    <w:p>
      <w:pPr>
        <w:spacing w:before="120" w:after="80"/>
      </w:pPr>
      <w:r>
        <w:rPr>
          <w:rFonts w:ascii="Aptos" w:hAnsi="Aptos" w:eastAsia="Aptos"/>
          <w:b/>
          <w:color w:val="1E6BFF"/>
          <w:sz w:val="30"/>
        </w:rPr>
        <w:t>Welcome and orientation</w:t>
      </w:r>
    </w:p>
    <w:p>
      <w:pPr>
        <w:spacing w:after="100"/>
      </w:pPr>
      <w:r>
        <w:rPr>
          <w:rFonts w:ascii="Aptos" w:hAnsi="Aptos" w:eastAsia="Aptos"/>
          <w:b w:val="0"/>
          <w:color w:val="10151C"/>
          <w:sz w:val="21"/>
        </w:rPr>
        <w:t>Welcome. This opening lesson establishes the mental model for the learning path before the deeper technical topics begin. We will start with the application story, understand the role of MongoDB, and learn how to practice the material effectively.</w:t>
      </w:r>
    </w:p>
    <w:p>
      <w:pPr>
        <w:spacing w:before="120" w:after="80"/>
      </w:pPr>
      <w:r>
        <w:rPr>
          <w:rFonts w:ascii="Aptos" w:hAnsi="Aptos" w:eastAsia="Aptos"/>
          <w:b/>
          <w:color w:val="1E6BFF"/>
          <w:sz w:val="30"/>
        </w:rPr>
        <w:t>What this learning path is designed to do</w:t>
      </w:r>
    </w:p>
    <w:p>
      <w:pPr>
        <w:pStyle w:val="ListBullet"/>
        <w:spacing w:after="40"/>
        <w:ind w:left="317"/>
      </w:pPr>
      <w:r>
        <w:rPr>
          <w:rFonts w:ascii="Aptos" w:hAnsi="Aptos" w:eastAsia="Aptos"/>
          <w:b w:val="0"/>
          <w:color w:val="10151C"/>
          <w:sz w:val="20"/>
        </w:rPr>
        <w:t>Build a clear mental model of MongoDB as a document database.</w:t>
      </w:r>
    </w:p>
    <w:p>
      <w:pPr>
        <w:pStyle w:val="ListBullet"/>
        <w:spacing w:after="40"/>
        <w:ind w:left="317"/>
      </w:pPr>
      <w:r>
        <w:rPr>
          <w:rFonts w:ascii="Aptos" w:hAnsi="Aptos" w:eastAsia="Aptos"/>
          <w:b w:val="0"/>
          <w:color w:val="10151C"/>
          <w:sz w:val="20"/>
        </w:rPr>
        <w:t>Connect MongoDB concepts to application requirements and developer workflows.</w:t>
      </w:r>
    </w:p>
    <w:p>
      <w:pPr>
        <w:pStyle w:val="ListBullet"/>
        <w:spacing w:after="40"/>
        <w:ind w:left="317"/>
      </w:pPr>
      <w:r>
        <w:rPr>
          <w:rFonts w:ascii="Aptos" w:hAnsi="Aptos" w:eastAsia="Aptos"/>
          <w:b w:val="0"/>
          <w:color w:val="10151C"/>
          <w:sz w:val="20"/>
        </w:rPr>
        <w:t>Use practical examples rather than isolated syntax memorization.</w:t>
      </w:r>
    </w:p>
    <w:p>
      <w:pPr>
        <w:pStyle w:val="ListBullet"/>
        <w:spacing w:after="40"/>
        <w:ind w:left="317"/>
      </w:pPr>
      <w:r>
        <w:rPr>
          <w:rFonts w:ascii="Aptos" w:hAnsi="Aptos" w:eastAsia="Aptos"/>
          <w:b w:val="0"/>
          <w:color w:val="10151C"/>
          <w:sz w:val="20"/>
        </w:rPr>
        <w:t>Progress from mongosh exploration toward application-driver usage and real design decisions.</w:t>
      </w:r>
    </w:p>
    <w:p>
      <w:pPr>
        <w:spacing w:before="120" w:after="80"/>
      </w:pPr>
      <w:r>
        <w:rPr>
          <w:rFonts w:ascii="Aptos" w:hAnsi="Aptos" w:eastAsia="Aptos"/>
          <w:b/>
          <w:color w:val="1E6BFF"/>
          <w:sz w:val="30"/>
        </w:rPr>
        <w:t>How to learn with the lessons</w:t>
      </w:r>
    </w:p>
    <w:p>
      <w:pPr>
        <w:spacing w:after="100"/>
      </w:pPr>
      <w:r>
        <w:rPr>
          <w:rFonts w:ascii="Aptos" w:hAnsi="Aptos" w:eastAsia="Aptos"/>
          <w:b w:val="0"/>
          <w:color w:val="10151C"/>
          <w:sz w:val="21"/>
        </w:rPr>
        <w:t>Use a repeatable loop: watch the explanation, pause, run the demo, change a value, rerun the command, and explain the result in your own words. The point is to turn recognition into working knowledge.</w:t>
      </w:r>
    </w:p>
    <w:p>
      <w:pPr>
        <w:spacing w:before="120" w:after="80"/>
      </w:pPr>
      <w:r>
        <w:rPr>
          <w:rFonts w:ascii="Aptos" w:hAnsi="Aptos" w:eastAsia="Aptos"/>
          <w:b/>
          <w:color w:val="1E6BFF"/>
          <w:sz w:val="30"/>
        </w:rPr>
        <w:t>The running application: Order Management</w:t>
      </w:r>
    </w:p>
    <w:p>
      <w:pPr>
        <w:spacing w:after="100"/>
      </w:pPr>
      <w:r>
        <w:rPr>
          <w:rFonts w:ascii="Aptos" w:hAnsi="Aptos" w:eastAsia="Aptos"/>
          <w:b w:val="0"/>
          <w:color w:val="10151C"/>
          <w:sz w:val="21"/>
        </w:rPr>
        <w:t>The learning path uses Order Management as a recurring example. An application creates an order, stores it, and later reads it back. The example includes nested business information such as a shipping address, items, payment, and delivery so that later data-modeling ideas have a consistent context.</w:t>
      </w:r>
    </w:p>
    <w:p>
      <w:pPr>
        <w:spacing w:before="120" w:after="80"/>
      </w:pPr>
      <w:r>
        <w:rPr>
          <w:rFonts w:ascii="Aptos" w:hAnsi="Aptos" w:eastAsia="Aptos"/>
          <w:b/>
          <w:color w:val="1E6BFF"/>
          <w:sz w:val="30"/>
        </w:rPr>
        <w:t>Core MongoDB picture</w:t>
      </w:r>
    </w:p>
    <w:p>
      <w:pPr>
        <w:spacing w:after="100"/>
      </w:pPr>
      <w:r>
        <w:rPr>
          <w:rFonts w:ascii="Aptos" w:hAnsi="Aptos" w:eastAsia="Aptos"/>
          <w:b w:val="0"/>
          <w:color w:val="10151C"/>
          <w:sz w:val="21"/>
        </w:rPr>
        <w:t>At the application level, the flow is Application → Driver → MongoDB. Inside MongoDB, related data is organized as Database → Collection → Document. These words become the common vocabulary for the next lessons.</w:t>
      </w:r>
    </w:p>
    <w:tbl>
      <w:tblPr>
        <w:tblW w:type="auto" w:w="0"/>
        <w:jc w:val="center"/>
        <w:tblLayout w:type="fixed"/>
        <w:tblLook w:firstColumn="1" w:firstRow="1" w:lastColumn="0" w:lastRow="0" w:noHBand="0" w:noVBand="1" w:val="04A0"/>
      </w:tblPr>
      <w:tblGrid>
        <w:gridCol w:w="10224"/>
      </w:tblGrid>
      <w:tr>
        <w:tc>
          <w:tcPr>
            <w:tcW w:type="dxa" w:w="9504"/>
            <w:shd w:fill="10151C"/>
            <w:tcBorders>
              <w:top w:val="single" w:sz="8" w:color="26313D"/>
              <w:left w:val="single" w:sz="8" w:color="26313D"/>
              <w:bottom w:val="single" w:sz="8" w:color="26313D"/>
              <w:right w:val="single" w:sz="8" w:color="26313D"/>
            </w:tcBorders>
            <w:vAlign w:val="center"/>
          </w:tcPr>
          <w:p>
            <w:pPr>
              <w:spacing w:after="0"/>
            </w:pPr>
            <w:r>
              <w:rPr>
                <w:rFonts w:ascii="Courier New" w:hAnsi="Courier New" w:eastAsia="Courier New"/>
                <w:b w:val="0"/>
                <w:color w:val="EAF0F6"/>
                <w:sz w:val="17"/>
              </w:rPr>
              <w:t>Application  →  Driver  →  MongoDB</w:t>
              <w:br/>
              <w:br/>
              <w:t>Database  →  Collection  →  Document</w:t>
            </w:r>
          </w:p>
        </w:tc>
      </w:tr>
    </w:tbl>
    <w:p>
      <w:pPr>
        <w:spacing w:after="40"/>
      </w:pPr>
    </w:p>
    <w:p>
      <w:pPr>
        <w:spacing w:before="120" w:after="80"/>
      </w:pPr>
      <w:r>
        <w:rPr>
          <w:rFonts w:ascii="Aptos" w:hAnsi="Aptos" w:eastAsia="Aptos"/>
          <w:b/>
          <w:color w:val="1E6BFF"/>
          <w:sz w:val="30"/>
        </w:rPr>
        <w:t>Example order document</w:t>
      </w:r>
    </w:p>
    <w:tbl>
      <w:tblPr>
        <w:tblW w:type="auto" w:w="0"/>
        <w:jc w:val="center"/>
        <w:tblLayout w:type="fixed"/>
        <w:tblLook w:firstColumn="1" w:firstRow="1" w:lastColumn="0" w:lastRow="0" w:noHBand="0" w:noVBand="1" w:val="04A0"/>
      </w:tblPr>
      <w:tblGrid>
        <w:gridCol w:w="10224"/>
      </w:tblGrid>
      <w:tr>
        <w:tc>
          <w:tcPr>
            <w:tcW w:type="dxa" w:w="9504"/>
            <w:shd w:fill="10151C"/>
            <w:tcBorders>
              <w:top w:val="single" w:sz="8" w:color="26313D"/>
              <w:left w:val="single" w:sz="8" w:color="26313D"/>
              <w:bottom w:val="single" w:sz="8" w:color="26313D"/>
              <w:right w:val="single" w:sz="8" w:color="26313D"/>
            </w:tcBorders>
            <w:vAlign w:val="center"/>
          </w:tcPr>
          <w:p>
            <w:pPr>
              <w:spacing w:after="0"/>
            </w:pPr>
            <w:r>
              <w:rPr>
                <w:rFonts w:ascii="Courier New" w:hAnsi="Courier New" w:eastAsia="Courier New"/>
                <w:b w:val="0"/>
                <w:color w:val="EAF0F6"/>
                <w:sz w:val="17"/>
              </w:rPr>
              <w:t>{</w:t>
              <w:br/>
              <w:t xml:space="preserve">  orderId: "ORD-1001",</w:t>
              <w:br/>
              <w:t xml:space="preserve">  status: "PLACED",</w:t>
              <w:br/>
              <w:t xml:space="preserve">  shippingAddress: { city: "Chennai", postalCode: "600001" },</w:t>
              <w:br/>
              <w:t xml:space="preserve">  items: [ { sku: "KB-101", qty: 2, price: 1499.00 } ],</w:t>
              <w:br/>
              <w:t xml:space="preserve">  payment: { method: "CARD", status: "AUTHORIZED" }</w:t>
              <w:br/>
              <w:t>}</w:t>
            </w:r>
          </w:p>
        </w:tc>
      </w:tr>
    </w:tbl>
    <w:p>
      <w:pPr>
        <w:spacing w:after="40"/>
      </w:pPr>
    </w:p>
    <w:p>
      <w:pPr>
        <w:spacing w:before="120" w:after="80"/>
      </w:pPr>
      <w:r>
        <w:rPr>
          <w:rFonts w:ascii="Aptos" w:hAnsi="Aptos" w:eastAsia="Aptos"/>
          <w:b/>
          <w:color w:val="1E6BFF"/>
          <w:sz w:val="30"/>
        </w:rPr>
        <w:t>What comes next</w:t>
      </w:r>
    </w:p>
    <w:p>
      <w:pPr>
        <w:spacing w:after="100"/>
      </w:pPr>
      <w:r>
        <w:rPr>
          <w:rFonts w:ascii="Aptos" w:hAnsi="Aptos" w:eastAsia="Aptos"/>
          <w:b w:val="0"/>
          <w:color w:val="10151C"/>
          <w:sz w:val="21"/>
        </w:rPr>
        <w:t>The next lessons move from the introduction into MongoDB itself, its document-oriented model, its ecosystem, and the ways developers interact with it. Later sections build on that foundation with data modeling, CRUD, validation, querying, indexing, aggregation, transactions, application integration, testing, security, and production practices.</w:t>
      </w:r>
    </w:p>
    <w:p>
      <w:pPr>
        <w:spacing w:before="120" w:after="80"/>
      </w:pPr>
      <w:r>
        <w:rPr>
          <w:rFonts w:ascii="Aptos" w:hAnsi="Aptos" w:eastAsia="Aptos"/>
          <w:b/>
          <w:color w:val="1E6BFF"/>
          <w:sz w:val="30"/>
        </w:rPr>
        <w:t>Practical checkpoint</w:t>
      </w:r>
    </w:p>
    <w:p>
      <w:pPr>
        <w:pStyle w:val="ListBullet"/>
        <w:spacing w:after="40"/>
        <w:ind w:left="317"/>
      </w:pPr>
      <w:r>
        <w:rPr>
          <w:rFonts w:ascii="Aptos" w:hAnsi="Aptos" w:eastAsia="Aptos"/>
          <w:b w:val="0"/>
          <w:color w:val="10151C"/>
          <w:sz w:val="20"/>
        </w:rPr>
        <w:t>What is MongoDB in your own words?</w:t>
      </w:r>
    </w:p>
    <w:p>
      <w:pPr>
        <w:pStyle w:val="ListBullet"/>
        <w:spacing w:after="40"/>
        <w:ind w:left="317"/>
      </w:pPr>
      <w:r>
        <w:rPr>
          <w:rFonts w:ascii="Aptos" w:hAnsi="Aptos" w:eastAsia="Aptos"/>
          <w:b w:val="0"/>
          <w:color w:val="10151C"/>
          <w:sz w:val="20"/>
        </w:rPr>
        <w:t>What is a document?</w:t>
      </w:r>
    </w:p>
    <w:p>
      <w:pPr>
        <w:pStyle w:val="ListBullet"/>
        <w:spacing w:after="40"/>
        <w:ind w:left="317"/>
      </w:pPr>
      <w:r>
        <w:rPr>
          <w:rFonts w:ascii="Aptos" w:hAnsi="Aptos" w:eastAsia="Aptos"/>
          <w:b w:val="0"/>
          <w:color w:val="10151C"/>
          <w:sz w:val="20"/>
        </w:rPr>
        <w:t>How does an application communicate with MongoDB?</w:t>
      </w:r>
    </w:p>
    <w:p>
      <w:pPr>
        <w:pStyle w:val="ListBullet"/>
        <w:spacing w:after="40"/>
        <w:ind w:left="317"/>
      </w:pPr>
      <w:r>
        <w:rPr>
          <w:rFonts w:ascii="Aptos" w:hAnsi="Aptos" w:eastAsia="Aptos"/>
          <w:b w:val="0"/>
          <w:color w:val="10151C"/>
          <w:sz w:val="20"/>
        </w:rPr>
        <w:t>Why is Order Management a useful recurring example?</w:t>
      </w:r>
    </w:p>
    <w:p>
      <w:pPr>
        <w:spacing w:before="120" w:after="80"/>
      </w:pPr>
      <w:r>
        <w:rPr>
          <w:rFonts w:ascii="Aptos" w:hAnsi="Aptos" w:eastAsia="Aptos"/>
          <w:b/>
          <w:color w:val="1E6BFF"/>
          <w:sz w:val="30"/>
        </w:rPr>
        <w:t>Key takeaway</w:t>
      </w:r>
    </w:p>
    <w:p>
      <w:pPr>
        <w:spacing w:after="100"/>
      </w:pPr>
      <w:r>
        <w:rPr>
          <w:rFonts w:ascii="Aptos" w:hAnsi="Aptos" w:eastAsia="Aptos"/>
          <w:b w:val="0"/>
          <w:color w:val="10151C"/>
          <w:sz w:val="21"/>
        </w:rPr>
        <w:t>Do not try to memorize MongoDB first. Start by understanding the application problem, the data shape, and the flow between application code and the database. The commands make more sense once the picture is clear.</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5F6B78"/>
        <w:sz w:val="16"/>
      </w:rPr>
      <w:t>MongoDB Developer Learning Path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