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67814"/>
          <w:sz w:val="40"/>
        </w:rPr>
        <w:t>MongoDB + Clients: The Big Picture — Speaker Notes</w:t>
      </w:r>
    </w:p>
    <w:p>
      <w:pPr>
        <w:jc w:val="center"/>
      </w:pPr>
      <w:r>
        <w:rPr>
          <w:color w:val="646970"/>
          <w:sz w:val="22"/>
        </w:rPr>
        <w:t>Slide-by-slide training guide</w:t>
      </w:r>
    </w:p>
    <w:p>
      <w:r>
        <w:rPr>
          <w:b/>
          <w:color w:val="235A91"/>
          <w:sz w:val="28"/>
        </w:rPr>
        <w:t>Slide 1 — Visual Summary</w:t>
      </w:r>
    </w:p>
    <w:p>
      <w:r>
        <w:rPr>
          <w:b/>
        </w:rPr>
        <w:t xml:space="preserve">What to say: </w:t>
      </w:r>
      <w:r>
        <w:t>See how applications, mongosh, Compass, drivers, and MongoDB fit together as one client-to-database flow.</w:t>
      </w:r>
    </w:p>
    <w:p>
      <w:r>
        <w:rPr>
          <w:b/>
        </w:rPr>
        <w:t xml:space="preserve">Key training points: </w:t>
      </w:r>
      <w:r>
        <w:t>Use the infographic to establish the mental model before diving into detail.</w:t>
      </w:r>
    </w:p>
    <w:p>
      <w:r>
        <w:rPr>
          <w:b/>
        </w:rPr>
        <w:t xml:space="preserve">Question / interaction: </w:t>
      </w:r>
      <w:r>
        <w:t>Ask learners to name one concept they already recognize.</w:t>
      </w:r>
    </w:p>
    <w:p>
      <w:r>
        <w:rPr>
          <w:b/>
        </w:rPr>
        <w:t xml:space="preserve">Transition: </w:t>
      </w:r>
      <w:r>
        <w:t>Transition into the lesson objectives.</w:t>
      </w:r>
    </w:p>
    <w:p>
      <w:r>
        <w:rPr>
          <w:b/>
          <w:color w:val="235A91"/>
          <w:sz w:val="28"/>
        </w:rPr>
        <w:t>Slide 2 — Objectives and running example</w:t>
      </w:r>
    </w:p>
    <w:p>
      <w:r>
        <w:rPr>
          <w:b/>
        </w:rPr>
        <w:t xml:space="preserve">What to say: </w:t>
      </w:r>
      <w:r>
        <w:t>Frame the lesson around the Order Management example and the stated objectives.</w:t>
      </w:r>
    </w:p>
    <w:p>
      <w:r>
        <w:rPr>
          <w:b/>
        </w:rPr>
        <w:t xml:space="preserve">Key training points: </w:t>
      </w:r>
      <w:r>
        <w:t>Keep the running example visible throughout the lesson.</w:t>
      </w:r>
    </w:p>
    <w:p>
      <w:r>
        <w:rPr>
          <w:b/>
        </w:rPr>
        <w:t xml:space="preserve">Question / interaction: </w:t>
      </w:r>
      <w:r>
        <w:t>Ask which objective feels most unfamiliar.</w:t>
      </w:r>
    </w:p>
    <w:p>
      <w:r>
        <w:rPr>
          <w:b/>
        </w:rPr>
        <w:t xml:space="preserve">Transition: </w:t>
      </w:r>
      <w:r>
        <w:t>Move into the first concept slide.</w:t>
      </w:r>
    </w:p>
    <w:p>
      <w:r>
        <w:rPr>
          <w:b/>
          <w:color w:val="235A91"/>
          <w:sz w:val="28"/>
        </w:rPr>
        <w:t>Slide — Different clients, one data platform</w:t>
      </w:r>
    </w:p>
    <w:p>
      <w:r>
        <w:rPr>
          <w:b/>
        </w:rPr>
        <w:t xml:space="preserve">What to say: </w:t>
      </w:r>
      <w:r>
        <w:t>Applications use drivers.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The communication path</w:t>
      </w:r>
    </w:p>
    <w:p>
      <w:r>
        <w:rPr>
          <w:b/>
        </w:rPr>
        <w:t xml:space="preserve">What to say: </w:t>
      </w:r>
      <w:r>
        <w:t>User interacts with an application.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The same data through different clients</w:t>
      </w:r>
    </w:p>
    <w:p>
      <w:r>
        <w:rPr>
          <w:b/>
        </w:rPr>
        <w:t xml:space="preserve">What to say: </w:t>
      </w:r>
      <w:r>
        <w:t>A shell query can inspect an order.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Choosing the right client</w:t>
      </w:r>
    </w:p>
    <w:p>
      <w:r>
        <w:rPr>
          <w:b/>
        </w:rPr>
        <w:t xml:space="preserve">What to say: </w:t>
      </w:r>
      <w:r>
        <w:t>Use the shell for direct exploration.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Order Management workflow</w:t>
      </w:r>
    </w:p>
    <w:p>
      <w:r>
        <w:rPr>
          <w:b/>
        </w:rPr>
        <w:t xml:space="preserve">What to say: </w:t>
      </w:r>
      <w:r>
        <w:t>Application receives an order request.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Troubleshooting the path</w:t>
      </w:r>
    </w:p>
    <w:p>
      <w:r>
        <w:rPr>
          <w:b/>
        </w:rPr>
        <w:t xml:space="preserve">What to say: </w:t>
      </w:r>
      <w:r>
        <w:t>Ask which client issued the operation.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Hands-on: follow one request</w:t>
      </w:r>
    </w:p>
    <w:p>
      <w:r>
        <w:rPr>
          <w:b/>
        </w:rPr>
        <w:t xml:space="preserve">What to say: </w:t>
      </w:r>
      <w:r>
        <w:t>Insert an order from mongosh.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What to remember</w:t>
      </w:r>
    </w:p>
    <w:p>
      <w:r>
        <w:rPr>
          <w:b/>
        </w:rPr>
        <w:t xml:space="preserve">What to say: </w:t>
      </w:r>
      <w:r>
        <w:t>Client is the access path; MongoDB is the data service.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Slide — Next step</w:t>
      </w:r>
    </w:p>
    <w:p>
      <w:r>
        <w:rPr>
          <w:b/>
        </w:rPr>
        <w:t xml:space="preserve">What to say: </w:t>
      </w:r>
      <w:r>
        <w:t>Finish the foundations with the complete developer learning path and expectations.</w:t>
      </w:r>
    </w:p>
    <w:p>
      <w:r>
        <w:rPr>
          <w:b/>
        </w:rPr>
        <w:t xml:space="preserve">Key training points: </w:t>
      </w:r>
      <w:r>
        <w:t>Reinforce the remaining points on the slide and connect them to the application example.</w:t>
      </w:r>
    </w:p>
    <w:p>
      <w:r>
        <w:rPr>
          <w:b/>
        </w:rPr>
        <w:t xml:space="preserve">Question / interaction: </w:t>
      </w:r>
      <w:r>
        <w:t>Ask learners a quick prediction or identification question.</w:t>
      </w:r>
    </w:p>
    <w:p>
      <w:r>
        <w:rPr>
          <w:b/>
        </w:rPr>
        <w:t xml:space="preserve">Transition: </w:t>
      </w:r>
      <w:r>
        <w:t>Transition to the next concept or demo.</w:t>
      </w:r>
    </w:p>
    <w:p>
      <w:r>
        <w:rPr>
          <w:b/>
          <w:color w:val="235A91"/>
          <w:sz w:val="28"/>
        </w:rPr>
        <w:t>Final Slide — Key Takeaways</w:t>
      </w:r>
    </w:p>
    <w:p>
      <w:r>
        <w:rPr>
          <w:b/>
        </w:rPr>
        <w:t xml:space="preserve">What to say: </w:t>
      </w:r>
      <w:r>
        <w:t>Close by reducing the lesson to the five highlighted ideas.</w:t>
      </w:r>
    </w:p>
    <w:p>
      <w:r>
        <w:rPr>
          <w:b/>
        </w:rPr>
        <w:t xml:space="preserve">Key training points: </w:t>
      </w:r>
      <w:r>
        <w:t>Repeat the application example and emphasize active practice.</w:t>
      </w:r>
    </w:p>
    <w:p>
      <w:r>
        <w:rPr>
          <w:b/>
        </w:rPr>
        <w:t xml:space="preserve">Question / interaction: </w:t>
      </w:r>
      <w:r>
        <w:t>Ask learners to explain the lesson in one sentence.</w:t>
      </w:r>
    </w:p>
    <w:p>
      <w:r>
        <w:rPr>
          <w:b/>
        </w:rPr>
        <w:t xml:space="preserve">Transition: </w:t>
      </w:r>
      <w:r>
        <w:t>Transition to the next lesson.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