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One-to-One — References</w:t>
      </w:r>
    </w:p>
    <w:p>
      <w:pPr>
        <w:jc w:val="center"/>
      </w:pPr>
      <w:r>
        <w:rPr>
          <w:i/>
          <w:sz w:val="22"/>
        </w:rPr>
        <w:t>MongoDB Developer Learning Path</w:t>
      </w:r>
    </w:p>
    <w:p>
      <w:r>
        <w:rPr>
          <w:b/>
          <w:color w:val="E67E22"/>
          <w:sz w:val="30"/>
        </w:rPr>
        <w:t>Learning Objective</w:t>
      </w:r>
    </w:p>
    <w:p>
      <w:pPr>
        <w:spacing w:after="140"/>
      </w:pPr>
      <w:r>
        <w:t>Understand how a one-to-one relationship can be represented with a reference, why the related document is stored separately, and how the application resolves the link.</w:t>
      </w:r>
    </w:p>
    <w:p>
      <w:r>
        <w:rPr>
          <w:b/>
          <w:color w:val="E67E22"/>
          <w:sz w:val="30"/>
        </w:rPr>
        <w:t>Core Concept</w:t>
      </w:r>
    </w:p>
    <w:p>
      <w:pPr>
        <w:pStyle w:val="ListBullet"/>
        <w:spacing w:after="40"/>
      </w:pPr>
      <w:r>
        <w:t>One parent document stores a reference to one related document.</w:t>
      </w:r>
    </w:p>
    <w:p>
      <w:pPr>
        <w:pStyle w:val="ListBullet"/>
        <w:spacing w:after="40"/>
      </w:pPr>
      <w:r>
        <w:t>The related data lives in another collection.</w:t>
      </w:r>
    </w:p>
    <w:p>
      <w:pPr>
        <w:pStyle w:val="ListBullet"/>
        <w:spacing w:after="40"/>
      </w:pPr>
      <w:r>
        <w:t>An ObjectId or equivalent identifier links the documents.</w:t>
      </w:r>
    </w:p>
    <w:p>
      <w:pPr>
        <w:pStyle w:val="ListBullet"/>
        <w:spacing w:after="40"/>
      </w:pPr>
      <w:r>
        <w:t>The application chooses when and how to retrieve the related document.</w:t>
      </w:r>
    </w:p>
    <w:p>
      <w:r>
        <w:rPr>
          <w:b/>
          <w:color w:val="E67E22"/>
          <w:sz w:val="30"/>
        </w:rPr>
        <w:t>Order Management Example</w:t>
      </w:r>
    </w:p>
    <w:p>
      <w:pPr>
        <w:spacing w:after="140"/>
      </w:pPr>
      <w:r>
        <w:t>An order can reference a separate invoice document. The order stores invoiceId, while the invoices collection stores invoiceNumber, amount, status, and other invoice-specific fields.</w:t>
      </w:r>
    </w:p>
    <w:p>
      <w:r>
        <w:rPr>
          <w:b/>
          <w:color w:val="E67E22"/>
          <w:sz w:val="30"/>
        </w:rPr>
        <w:t>Example Document Shape</w:t>
      </w:r>
    </w:p>
    <w:p>
      <w:pPr>
        <w:spacing w:after="140"/>
      </w:pPr>
      <w:r>
        <w:t>Order: { orderNumber: "ORD-1001", invoiceId: ObjectId("..."), status: "CONFIRMED" }</w:t>
        <w:br/>
        <w:br/>
        <w:t>Invoice: { _id: ObjectId("..."), invoiceNumber: "INV-5001", amount: 1299.00, status: "PAID" }</w:t>
      </w:r>
    </w:p>
    <w:p>
      <w:r>
        <w:rPr>
          <w:b/>
          <w:color w:val="E67E22"/>
          <w:sz w:val="30"/>
        </w:rPr>
        <w:t>When Referencing Fits</w:t>
      </w:r>
    </w:p>
    <w:p>
      <w:pPr>
        <w:pStyle w:val="ListBullet"/>
        <w:spacing w:after="40"/>
      </w:pPr>
      <w:r>
        <w:t>The related object is large or complex.</w:t>
      </w:r>
    </w:p>
    <w:p>
      <w:pPr>
        <w:pStyle w:val="ListBullet"/>
        <w:spacing w:after="40"/>
      </w:pPr>
      <w:r>
        <w:t>The related object is updated independently.</w:t>
      </w:r>
    </w:p>
    <w:p>
      <w:pPr>
        <w:pStyle w:val="ListBullet"/>
        <w:spacing w:after="40"/>
      </w:pPr>
      <w:r>
        <w:t>The related object has a different lifecycle.</w:t>
      </w:r>
    </w:p>
    <w:p>
      <w:pPr>
        <w:pStyle w:val="ListBullet"/>
        <w:spacing w:after="40"/>
      </w:pPr>
      <w:r>
        <w:t>The related object is queried independently.</w:t>
      </w:r>
    </w:p>
    <w:p>
      <w:pPr>
        <w:pStyle w:val="ListBullet"/>
        <w:spacing w:after="40"/>
      </w:pPr>
      <w:r>
        <w:t>Keeping the parent document smaller is useful.</w:t>
      </w:r>
    </w:p>
    <w:p>
      <w:r>
        <w:rPr>
          <w:b/>
          <w:color w:val="E67E22"/>
          <w:sz w:val="30"/>
        </w:rPr>
        <w:t>Reading the Relationship</w:t>
      </w:r>
    </w:p>
    <w:p>
      <w:pPr>
        <w:spacing w:after="140"/>
      </w:pPr>
      <w:r>
        <w:t>A reference is not an automatic join. A developer can issue a second query or use aggregation with $lookup to resolve the related document when needed.</w:t>
      </w:r>
    </w:p>
    <w:p>
      <w:r>
        <w:rPr>
          <w:b/>
          <w:color w:val="E67E22"/>
          <w:sz w:val="30"/>
        </w:rPr>
        <w:t>Hands-On Focus</w:t>
      </w:r>
    </w:p>
    <w:p>
      <w:pPr>
        <w:spacing w:after="140"/>
      </w:pPr>
      <w:r>
        <w:t>Create the invoices collection, insert the related invoice, capture its _id, insert the order with invoiceId, query the order, and resolve the invoice using $lookup.</w:t>
      </w:r>
    </w:p>
    <w:p>
      <w:r>
        <w:rPr>
          <w:b/>
          <w:color w:val="E67E22"/>
          <w:sz w:val="30"/>
        </w:rPr>
        <w:t>Design Checklist</w:t>
      </w:r>
    </w:p>
    <w:p>
      <w:pPr>
        <w:pStyle w:val="ListBullet"/>
        <w:spacing w:after="40"/>
      </w:pPr>
      <w:r>
        <w:t>Is the related object independently managed?</w:t>
      </w:r>
    </w:p>
    <w:p>
      <w:pPr>
        <w:pStyle w:val="ListBullet"/>
        <w:spacing w:after="40"/>
      </w:pPr>
      <w:r>
        <w:t>Can it grow or become complex?</w:t>
      </w:r>
    </w:p>
    <w:p>
      <w:pPr>
        <w:pStyle w:val="ListBullet"/>
        <w:spacing w:after="40"/>
      </w:pPr>
      <w:r>
        <w:t>Is it commonly accessed by itself?</w:t>
      </w:r>
    </w:p>
    <w:p>
      <w:pPr>
        <w:pStyle w:val="ListBullet"/>
        <w:spacing w:after="40"/>
      </w:pPr>
      <w:r>
        <w:t>Does it follow a different lifecycle?</w:t>
      </w:r>
    </w:p>
    <w:p>
      <w:pPr>
        <w:pStyle w:val="ListBullet"/>
        <w:spacing w:after="40"/>
      </w:pPr>
      <w:r>
        <w:t>Would a separate document keep the parent model clearer?</w:t>
      </w:r>
    </w:p>
    <w:p>
      <w:r>
        <w:rPr>
          <w:b/>
          <w:color w:val="E67E22"/>
          <w:sz w:val="30"/>
        </w:rPr>
        <w:t>Key Takeaway</w:t>
      </w:r>
    </w:p>
    <w:p>
      <w:pPr>
        <w:spacing w:after="140"/>
      </w:pPr>
      <w:r>
        <w:t>One-to-one referencing keeps the related document separate and connects it with an explicit identifier. Use it when the relationship benefits from independent size, access, update, or lifecycle behavior.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