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Евгений</w:t>
      </w:r>
      <w:r>
        <w:t xml:space="preserve"> </w:t>
      </w:r>
      <w:r>
        <w:t xml:space="preserve">Шехавцов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5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Откроем Emacs.</w:t>
      </w:r>
    </w:p>
    <w:p>
      <w:pPr>
        <w:pStyle w:val="CaptionedFigure"/>
      </w:pPr>
      <w:r>
        <w:drawing>
          <wp:inline>
            <wp:extent cx="3733800" cy="3958469"/>
            <wp:effectExtent b="0" l="0" r="0" t="0"/>
            <wp:docPr descr="Запуск Emacs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584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Запуск Emacs</w:t>
      </w:r>
    </w:p>
    <w:p>
      <w:pPr>
        <w:pStyle w:val="Compact"/>
        <w:numPr>
          <w:ilvl w:val="0"/>
          <w:numId w:val="1002"/>
        </w:numPr>
      </w:pPr>
      <w:r>
        <w:t xml:space="preserve">Создадим файл lab07.sh с помощью комбинации Ctrl-x Ctrl-f и наберем текст из задания в ново созданный файл.</w:t>
      </w:r>
    </w:p>
    <w:p>
      <w:pPr>
        <w:pStyle w:val="CaptionedFigure"/>
      </w:pPr>
      <w:r>
        <w:drawing>
          <wp:inline>
            <wp:extent cx="3733800" cy="3972589"/>
            <wp:effectExtent b="0" l="0" r="0" t="0"/>
            <wp:docPr descr="Новый файл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2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Новый файл</w:t>
      </w:r>
    </w:p>
    <w:p>
      <w:pPr>
        <w:pStyle w:val="Compact"/>
        <w:numPr>
          <w:ilvl w:val="0"/>
          <w:numId w:val="1003"/>
        </w:numPr>
      </w:pPr>
      <w:r>
        <w:t xml:space="preserve">Сохраним файл с помощью комбинации Ctrl-x s.</w:t>
      </w:r>
      <w:r>
        <w:t xml:space="preserve"> </w:t>
      </w:r>
      <w:r>
        <w:t xml:space="preserve">Проделаем с текстом стандартные процедуры редактирования,</w:t>
      </w:r>
      <w:r>
        <w:t xml:space="preserve"> </w:t>
      </w:r>
      <w:r>
        <w:t xml:space="preserve">каждое действие осуществляется комбинациями клавиш.</w:t>
      </w:r>
      <w:r>
        <w:t xml:space="preserve"> </w:t>
      </w:r>
      <w:r>
        <w:t xml:space="preserve">Вырежем командой Ctrl-w. целую строку.</w:t>
      </w:r>
      <w:r>
        <w:t xml:space="preserve"> </w:t>
      </w:r>
      <w:r>
        <w:t xml:space="preserve">Вставим эту строку в конец файла командой Ctrl-y.</w:t>
      </w:r>
    </w:p>
    <w:p>
      <w:pPr>
        <w:pStyle w:val="CaptionedFigure"/>
      </w:pPr>
      <w:r>
        <w:drawing>
          <wp:inline>
            <wp:extent cx="3733800" cy="3990934"/>
            <wp:effectExtent b="0" l="0" r="0" t="0"/>
            <wp:docPr descr="Операция вставка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0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Операция вставка</w:t>
      </w:r>
    </w:p>
    <w:p>
      <w:pPr>
        <w:pStyle w:val="Compact"/>
        <w:numPr>
          <w:ilvl w:val="0"/>
          <w:numId w:val="1004"/>
        </w:numPr>
      </w:pPr>
      <w:r>
        <w:t xml:space="preserve">Выделим область текста командой Ctrl-space.</w:t>
      </w:r>
    </w:p>
    <w:p>
      <w:pPr>
        <w:pStyle w:val="CaptionedFigure"/>
      </w:pPr>
      <w:r>
        <w:drawing>
          <wp:inline>
            <wp:extent cx="3733800" cy="3996668"/>
            <wp:effectExtent b="0" l="0" r="0" t="0"/>
            <wp:docPr descr="Выделение блока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66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Выделение блока</w:t>
      </w:r>
    </w:p>
    <w:p>
      <w:pPr>
        <w:pStyle w:val="Compact"/>
        <w:numPr>
          <w:ilvl w:val="0"/>
          <w:numId w:val="1005"/>
        </w:numPr>
      </w:pPr>
      <w:r>
        <w:t xml:space="preserve">Скопируем область в буфер обмена командой alt-w.</w:t>
      </w:r>
      <w:r>
        <w:t xml:space="preserve"> </w:t>
      </w:r>
      <w:r>
        <w:t xml:space="preserve">Вставим область в конец файла.</w:t>
      </w:r>
    </w:p>
    <w:p>
      <w:pPr>
        <w:pStyle w:val="CaptionedFigure"/>
      </w:pPr>
      <w:r>
        <w:drawing>
          <wp:inline>
            <wp:extent cx="3733800" cy="3990934"/>
            <wp:effectExtent b="0" l="0" r="0" t="0"/>
            <wp:docPr descr="Копирование блок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0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Копирование блока</w:t>
      </w:r>
    </w:p>
    <w:p>
      <w:pPr>
        <w:pStyle w:val="Compact"/>
        <w:numPr>
          <w:ilvl w:val="0"/>
          <w:numId w:val="1006"/>
        </w:numPr>
      </w:pPr>
      <w:r>
        <w:t xml:space="preserve">Вновь выделим эту область и на этот раз</w:t>
      </w:r>
      <w:r>
        <w:t xml:space="preserve"> </w:t>
      </w:r>
      <w:r>
        <w:t xml:space="preserve">вырежем её командой Ctrl-w.</w:t>
      </w:r>
    </w:p>
    <w:p>
      <w:pPr>
        <w:pStyle w:val="CaptionedFigure"/>
      </w:pPr>
      <w:r>
        <w:drawing>
          <wp:inline>
            <wp:extent cx="3733800" cy="3992418"/>
            <wp:effectExtent b="0" l="0" r="0" t="0"/>
            <wp:docPr descr="Удаление блока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24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Удаление блока</w:t>
      </w:r>
    </w:p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pStyle w:val="Compact"/>
        <w:numPr>
          <w:ilvl w:val="0"/>
          <w:numId w:val="1009"/>
        </w:numPr>
      </w:pPr>
      <w:r>
        <w:t xml:space="preserve">Управление буферами. Введем Ctrl-x 2.</w:t>
      </w:r>
    </w:p>
    <w:p>
      <w:pPr>
        <w:pStyle w:val="CaptionedFigure"/>
      </w:pPr>
      <w:r>
        <w:drawing>
          <wp:inline>
            <wp:extent cx="3733800" cy="4063889"/>
            <wp:effectExtent b="0" l="0" r="0" t="0"/>
            <wp:docPr descr="Горизонтальное разделение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638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Горизонтальное разделение</w:t>
      </w:r>
    </w:p>
    <w:p>
      <w:pPr>
        <w:pStyle w:val="Compact"/>
        <w:numPr>
          <w:ilvl w:val="0"/>
          <w:numId w:val="1010"/>
        </w:numPr>
      </w:pPr>
      <w:r>
        <w:t xml:space="preserve">Переместим вновь открытое окно Ctrl-x со списком открытых буферов и переключимся на другой буфер.</w:t>
      </w:r>
    </w:p>
    <w:p>
      <w:pPr>
        <w:pStyle w:val="CaptionedFigure"/>
      </w:pPr>
      <w:r>
        <w:drawing>
          <wp:inline>
            <wp:extent cx="3733800" cy="4049485"/>
            <wp:effectExtent b="0" l="0" r="0" t="0"/>
            <wp:docPr descr="Переключение буфера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49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Переключение буфера</w:t>
      </w:r>
    </w:p>
    <w:p>
      <w:pPr>
        <w:pStyle w:val="Compact"/>
        <w:numPr>
          <w:ilvl w:val="0"/>
          <w:numId w:val="1011"/>
        </w:numPr>
      </w:pPr>
      <w:r>
        <w:t xml:space="preserve">Закроем это окно командой Ctrl-x 0.</w:t>
      </w:r>
    </w:p>
    <w:p>
      <w:pPr>
        <w:pStyle w:val="CaptionedFigure"/>
      </w:pPr>
      <w:r>
        <w:drawing>
          <wp:inline>
            <wp:extent cx="3733800" cy="3994793"/>
            <wp:effectExtent b="0" l="0" r="0" t="0"/>
            <wp:docPr descr="Закроем буфер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47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Закроем буфер</w:t>
      </w:r>
    </w:p>
    <w:p>
      <w:pPr>
        <w:pStyle w:val="Compact"/>
        <w:numPr>
          <w:ilvl w:val="0"/>
          <w:numId w:val="1012"/>
        </w:numPr>
      </w:pPr>
      <w:r>
        <w:t xml:space="preserve">Теперь вновь переключимся между буферами, но уже без вывода их списка на экран Ctrl-x b.</w:t>
      </w:r>
    </w:p>
    <w:p>
      <w:pPr>
        <w:pStyle w:val="CaptionedFigure"/>
      </w:pPr>
      <w:r>
        <w:drawing>
          <wp:inline>
            <wp:extent cx="3733800" cy="4045862"/>
            <wp:effectExtent b="0" l="0" r="0" t="0"/>
            <wp:docPr descr="Переключение буфера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458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Переключение буфера</w:t>
      </w:r>
    </w:p>
    <w:p>
      <w:pPr>
        <w:pStyle w:val="Compact"/>
        <w:numPr>
          <w:ilvl w:val="0"/>
          <w:numId w:val="1013"/>
        </w:numPr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p>
      <w:pPr>
        <w:pStyle w:val="CaptionedFigure"/>
      </w:pPr>
      <w:r>
        <w:drawing>
          <wp:inline>
            <wp:extent cx="3733800" cy="3981642"/>
            <wp:effectExtent b="0" l="0" r="0" t="0"/>
            <wp:docPr descr="Четыре буфера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16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11: Четыре буфера</w:t>
      </w:r>
    </w:p>
    <w:p>
      <w:pPr>
        <w:pStyle w:val="Compact"/>
        <w:numPr>
          <w:ilvl w:val="0"/>
          <w:numId w:val="1014"/>
        </w:numPr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p>
      <w:pPr>
        <w:pStyle w:val="CaptionedFigure"/>
      </w:pPr>
      <w:r>
        <w:drawing>
          <wp:inline>
            <wp:extent cx="3733800" cy="4156597"/>
            <wp:effectExtent b="0" l="0" r="0" t="0"/>
            <wp:docPr descr="Режим поиска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565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12: Режим поиска</w:t>
      </w:r>
    </w:p>
    <w:bookmarkEnd w:id="57"/>
    <w:bookmarkStart w:id="5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58"/>
    <w:bookmarkStart w:id="5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15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5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5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5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5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5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5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5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5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Евгений Шехавцов</dc:creator>
  <dc:language>ru-RU</dc:language>
  <cp:keywords/>
  <dcterms:created xsi:type="dcterms:W3CDTF">2024-04-10T10:27:47Z</dcterms:created>
  <dcterms:modified xsi:type="dcterms:W3CDTF">2024-04-10T10:27:47Z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Редактор Emacs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