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q5g8ccts33w" w:id="0"/>
      <w:bookmarkEnd w:id="0"/>
      <w:r w:rsidDel="00000000" w:rsidR="00000000" w:rsidRPr="00000000">
        <w:rPr>
          <w:rtl w:val="0"/>
        </w:rPr>
        <w:t xml:space="preserve">потенциал P300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P300</w:t>
      </w:r>
      <w:r w:rsidDel="00000000" w:rsidR="00000000" w:rsidRPr="00000000">
        <w:rPr>
          <w:rtl w:val="0"/>
        </w:rPr>
        <w:t xml:space="preserve"> — это компонент вызванного потенциала мозга, связанный с обработкой событий и когнитивными процессами. Он возникает примерно через 300 мс после появления стимула и связан с ожиданием или вниманием. P300 часто используется в исследованиях когнитивных функций, нейрофизиологических экспериментах и разработке интерфейсов "мозг-компьютер". Этот сигнал можно обнаружить с помощью электроэнцефалографии (ЭЭГ) и его часто используют для классификации, например, в задачах распознавания образов или детекции реакций на стимулы.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ybco9fwb6x7u" w:id="1"/>
      <w:bookmarkEnd w:id="1"/>
      <w:r w:rsidDel="00000000" w:rsidR="00000000" w:rsidRPr="00000000">
        <w:rPr>
          <w:rtl w:val="0"/>
        </w:rPr>
        <w:t xml:space="preserve">алгоритм подсчета весов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Веса можно интерпретировать через лагранжевы множители (подробнее ниже) и опорные вектора.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ygg5jkwvsnp" w:id="2"/>
      <w:bookmarkEnd w:id="2"/>
      <w:r w:rsidDel="00000000" w:rsidR="00000000" w:rsidRPr="00000000">
        <w:rPr>
          <w:rtl w:val="0"/>
        </w:rPr>
        <w:t xml:space="preserve">как вычисляются множители лагранжа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Множители Лагранжа используются в оптимизационных задачах с ограничениями. В контексте SVM их использование помогает преобразовать задачу минимизации функции потерь с ограничениями (максимизация зазора между классами) в задачу минимизации без ограничений, которую проще решать.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следующий: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Формируется </w:t>
      </w:r>
      <w:r w:rsidDel="00000000" w:rsidR="00000000" w:rsidRPr="00000000">
        <w:rPr>
          <w:b w:val="1"/>
          <w:rtl w:val="0"/>
        </w:rPr>
        <w:t xml:space="preserve">лагранжева функция</w:t>
      </w:r>
      <w:r w:rsidDel="00000000" w:rsidR="00000000" w:rsidRPr="00000000">
        <w:rPr>
          <w:rtl w:val="0"/>
        </w:rPr>
        <w:t xml:space="preserve"> для задачи с ограничениями, которая объединяет исходную функцию (например, целевую функцию SVM) и ограничения через множители Лагранжа.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где w и b — параметры модели, αi— множители Лагранжа, y— метки классов, а x— обучающие объекты.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результате решается задача двойственной оптимизации, где находится максимум лагранжевой функции по множителям 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Множители αi​ для тех точек, которые лежат на границе классов (опорные вектора), будут ненулевыми. Все остальные αi=0.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ty88sscp0ed" w:id="3"/>
      <w:bookmarkEnd w:id="3"/>
      <w:r w:rsidDel="00000000" w:rsidR="00000000" w:rsidRPr="00000000">
        <w:rPr>
          <w:rtl w:val="0"/>
        </w:rPr>
        <w:t xml:space="preserve">как вычисляются опорные вектора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Опорные вектора в методе опорных векторов (SVM) — это те обучающие объекты, которые определяют положение разделяющей гиперплоскости. Вычисляются они следующим образом: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того, как задача двойственной оптимизации решена, получены множители Лагранжа αi\alpha_iαi​.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 объекты, для которых множители αi\alpha_iαi​ положительны (ненулевые), называются </w:t>
      </w:r>
      <w:r w:rsidDel="00000000" w:rsidR="00000000" w:rsidRPr="00000000">
        <w:rPr>
          <w:b w:val="1"/>
          <w:rtl w:val="0"/>
        </w:rPr>
        <w:t xml:space="preserve">опорными векторами</w:t>
      </w:r>
      <w:r w:rsidDel="00000000" w:rsidR="00000000" w:rsidRPr="00000000">
        <w:rPr>
          <w:rtl w:val="0"/>
        </w:rPr>
        <w:t xml:space="preserve">. Эти точки лежат либо на границе классов, либо между ними, определяя разделяющую гиперплоскость.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Разделяющая гиперплоскость определяется через вектор весов www, который вычисляется как: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где xi— опорные вектора, αi— соответствующие им множители Лагранжа, а yi — метки классов.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Таким образом, SVM строит разделяющую гиперплоскость с максимальным зазором между классами, и только опорные вектора определяют это положение.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