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FMIS Go Live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To facilitate the roll-out of FMIS for UPOU
                <br/>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05 to 09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Open University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AVPD Jaime Caro
                <br/>
VP Lisa Bersales
                <br/>
AVP Noreen Escultura
                <br/>
Susan Sanchez
                <br/>
1 Budget Officer (UPS)
                <br/>
1 Accounting Officer (UPS)
                <br/>
FMIS Team
                <br/>
UPOU Personnel from Accounting, Budget, Cash and SPMO Office as well as the DV Originators and Administrative Officers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Breakfast: 150.00 Php * 9 Pax * 5 Days =6.750.00 Php 
                <br/>
Lunch: 150.00 Php * 9 Pax * 5 Days =6.750.00 Php 
                <br/>
Dinner: 150.00 Php * 9 Pax * 5 Days =6.750.00 Php 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20,250.00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UPD-UPOU (5 May 2014)
                <br/>
                      UPOU_UPD (9 May 2014)
                <br/>
1 Unit of Van Rental god for 9 (Roundtrip)
                <br/>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12,000.00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UPOU Guest house:
                <br/>
1000.00 Php * eUP personnel * 4 Nights = 36,000.00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36,000.00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36,000.00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12,000.00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20,250.00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68,250.00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