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SAIS End User Training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Sign on to Student Academic Information system (SAIS)
                <br/>
2. Access different SAIS databases based on the user's role
                <br/>
3. Access the SAIS home page and universal navigation header
                <br/>
4. Navigate through the SAIS menus, sub menus, navigation folders and pages
                <br/>
5. Utilize search pages to find records in the database and view data
                <br/>
6. Understand SAIS terminology and relate them to existing UP and CRS terminology
                <br/>
7. Follow the UPK and User manual and stimulate actual transaction in the university
                <br/>
8. Use favorites to save URLs within SAIS to enable quick access to frequently used pages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13 of Mar - 02 of Apr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Manila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Manila Officials
                <br/>
UP Manila End Users
                <br/>
eUP SAIS Team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Php 62,550.00 (To be shouldered by ePLDT As per eUP Contract)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62,550.00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ITINERARY: UP ITDC-UP MANILA-UP ITDC
                <br/>
                <br/>
UPITDC-UP MANILA Taxifare: 250.00 Php
                <br/>
UP MANILA-UPITDC Taxifare: 250.00 Php
                <br/>
Round trip fare: 500.00 Php* 15 Days = 7,500.00 Php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7,500.00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7,500.00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62,550.00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70,050.00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