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E3D" w:rsidRPr="000465C5" w:rsidRDefault="00AD7E3D" w:rsidP="000465C5">
      <w:pPr>
        <w:shd w:val="clear" w:color="auto" w:fill="FFFFFF"/>
        <w:spacing w:before="300" w:after="34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465C5">
        <w:rPr>
          <w:rFonts w:asciiTheme="majorHAnsi" w:hAnsiTheme="majorHAnsi" w:cstheme="majorHAnsi"/>
          <w:sz w:val="24"/>
          <w:szCs w:val="24"/>
        </w:rPr>
        <w:t>Subject: ITE302x</w:t>
      </w:r>
    </w:p>
    <w:p w:rsidR="00AD7E3D" w:rsidRPr="000465C5" w:rsidRDefault="00AD7E3D" w:rsidP="000465C5">
      <w:pPr>
        <w:shd w:val="clear" w:color="auto" w:fill="FFFFFF"/>
        <w:spacing w:before="300" w:after="34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465C5">
        <w:rPr>
          <w:rFonts w:asciiTheme="majorHAnsi" w:hAnsiTheme="majorHAnsi" w:cstheme="majorHAnsi"/>
          <w:sz w:val="24"/>
          <w:szCs w:val="24"/>
        </w:rPr>
        <w:t>Student name: Nguyen Thi Hong Mien</w:t>
      </w:r>
    </w:p>
    <w:p w:rsidR="00AD7E3D" w:rsidRPr="000465C5" w:rsidRDefault="00AD7E3D" w:rsidP="000465C5">
      <w:pPr>
        <w:shd w:val="clear" w:color="auto" w:fill="FFFFFF"/>
        <w:spacing w:before="300" w:after="34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465C5">
        <w:rPr>
          <w:rFonts w:asciiTheme="majorHAnsi" w:hAnsiTheme="majorHAnsi" w:cstheme="majorHAnsi"/>
          <w:sz w:val="24"/>
          <w:szCs w:val="24"/>
        </w:rPr>
        <w:t>Roll number: FX01960</w:t>
      </w:r>
    </w:p>
    <w:p w:rsidR="00AD7E3D" w:rsidRPr="000465C5" w:rsidRDefault="00AD7E3D" w:rsidP="000465C5">
      <w:pPr>
        <w:shd w:val="clear" w:color="auto" w:fill="FFFFFF"/>
        <w:spacing w:before="300" w:after="34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465C5">
        <w:rPr>
          <w:rFonts w:asciiTheme="majorHAnsi" w:hAnsiTheme="majorHAnsi" w:cstheme="majorHAnsi"/>
          <w:sz w:val="24"/>
          <w:szCs w:val="24"/>
        </w:rPr>
        <w:t>-------------------------------------</w:t>
      </w:r>
    </w:p>
    <w:p w:rsidR="00AD7E3D" w:rsidRPr="000465C5" w:rsidRDefault="00D23C80" w:rsidP="000465C5">
      <w:pPr>
        <w:shd w:val="clear" w:color="auto" w:fill="FFFFFF"/>
        <w:spacing w:before="300" w:after="340" w:line="276" w:lineRule="auto"/>
        <w:jc w:val="center"/>
        <w:rPr>
          <w:rFonts w:asciiTheme="majorHAnsi" w:eastAsia="Times New Roman" w:hAnsiTheme="majorHAnsi" w:cstheme="majorHAnsi"/>
          <w:color w:val="3C3C3C"/>
          <w:sz w:val="24"/>
          <w:szCs w:val="24"/>
          <w:u w:val="single"/>
          <w:lang w:val="en"/>
        </w:rPr>
      </w:pP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  <w:u w:val="single"/>
          <w:lang w:val="en"/>
        </w:rPr>
        <w:t>Answer to Assignment 2</w:t>
      </w:r>
    </w:p>
    <w:p w:rsidR="00385BAB" w:rsidRPr="000465C5" w:rsidRDefault="00385BAB" w:rsidP="000465C5">
      <w:pPr>
        <w:shd w:val="clear" w:color="auto" w:fill="FFFFFF"/>
        <w:spacing w:before="300" w:after="340" w:line="276" w:lineRule="auto"/>
        <w:jc w:val="both"/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1. Peter </w:t>
      </w:r>
      <w:proofErr w:type="spell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Gumble</w:t>
      </w:r>
      <w:proofErr w:type="spell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, European editor for Fortune magazine, comments, “</w:t>
      </w:r>
      <w:proofErr w:type="spell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Kerviel</w:t>
      </w:r>
      <w:proofErr w:type="spell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 is a stunning example of a trader breaking the rules, but he’s by no means alone. One of the dirty little secrets of trading floors around the world is that every so often, somebody </w:t>
      </w:r>
      <w:proofErr w:type="gram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is caught</w:t>
      </w:r>
      <w:proofErr w:type="gram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 concealing a position and is quickly—and quietly—dismissed…. [This] might be shocking for people unfamiliar with the macho, high-risk, high-reward culture of most trading floors, but consider this: the only way banks can tell who will turn into a good trader and who won’t is by giving every youngster, it hires a chance to show his mettle. That means allowing even the </w:t>
      </w:r>
      <w:proofErr w:type="gram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most junior</w:t>
      </w:r>
      <w:proofErr w:type="gram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 traders to take aggressive positions. This leeway is supposed to be matched by careful controls, but clearly they aren’t foolproof.”</w:t>
      </w:r>
    </w:p>
    <w:p w:rsidR="00385BAB" w:rsidRPr="000465C5" w:rsidRDefault="00385BAB" w:rsidP="000465C5">
      <w:pPr>
        <w:shd w:val="clear" w:color="auto" w:fill="FFFFFF"/>
        <w:spacing w:before="300" w:after="340" w:line="276" w:lineRule="auto"/>
        <w:jc w:val="both"/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What is your reaction to this statement by Mr. </w:t>
      </w:r>
      <w:proofErr w:type="spell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Gumble</w:t>
      </w:r>
      <w:proofErr w:type="spell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?</w:t>
      </w:r>
    </w:p>
    <w:p w:rsidR="000465C5" w:rsidRDefault="00BF3264" w:rsidP="000465C5">
      <w:pPr>
        <w:shd w:val="clear" w:color="auto" w:fill="FFFFFF"/>
        <w:spacing w:before="300" w:after="340" w:line="276" w:lineRule="auto"/>
        <w:jc w:val="both"/>
        <w:rPr>
          <w:rFonts w:asciiTheme="majorHAnsi" w:eastAsia="Times New Roman" w:hAnsiTheme="majorHAnsi" w:cstheme="majorHAnsi"/>
          <w:color w:val="3C3C3C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I maybe someone who is “unfamiliar with the macho, high-risk, high-reward culture of most trading floors” as mentioned in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Mr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Gumble’s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statement so I am a bit surprised to find out how these systems work under the deep level, not just on the surface. </w:t>
      </w:r>
    </w:p>
    <w:p w:rsidR="000465C5" w:rsidRDefault="00BF3264" w:rsidP="000465C5">
      <w:pPr>
        <w:shd w:val="clear" w:color="auto" w:fill="FFFFFF"/>
        <w:spacing w:before="300" w:after="340" w:line="276" w:lineRule="auto"/>
        <w:jc w:val="both"/>
        <w:rPr>
          <w:rFonts w:asciiTheme="majorHAnsi" w:eastAsia="Times New Roman" w:hAnsiTheme="majorHAnsi" w:cstheme="majorHAnsi"/>
          <w:color w:val="3C3C3C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I think there will be no right or wrong about this statement because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Mr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Gumble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just share some information, or so-called secrets.</w:t>
      </w:r>
    </w:p>
    <w:p w:rsidR="00BF3264" w:rsidRPr="000465C5" w:rsidRDefault="00BF3264" w:rsidP="000465C5">
      <w:pPr>
        <w:shd w:val="clear" w:color="auto" w:fill="FFFFFF"/>
        <w:spacing w:before="300" w:after="340" w:line="276" w:lineRule="auto"/>
        <w:jc w:val="both"/>
        <w:rPr>
          <w:rFonts w:asciiTheme="majorHAnsi" w:eastAsia="Times New Roman" w:hAnsiTheme="majorHAnsi" w:cstheme="majorHAnsi"/>
          <w:color w:val="3C3C3C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The </w:t>
      </w:r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case</w:t>
      </w: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of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Kerviel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may set a bad e</w:t>
      </w:r>
      <w:bookmarkStart w:id="0" w:name="_GoBack"/>
      <w:bookmarkEnd w:id="0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xample of putting a youngste</w:t>
      </w:r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r in an inappropriate position and I think part of the responsibility in this case is the oversight of </w:t>
      </w:r>
      <w:proofErr w:type="spellStart"/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SocGen</w:t>
      </w:r>
      <w:proofErr w:type="spellEnd"/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</w:t>
      </w:r>
      <w:proofErr w:type="gramStart"/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company</w:t>
      </w:r>
      <w:proofErr w:type="gramEnd"/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. However, I believe banks have more than that one option of “</w:t>
      </w:r>
      <w:r w:rsidR="00D768CE" w:rsidRPr="000465C5">
        <w:rPr>
          <w:rFonts w:asciiTheme="majorHAnsi" w:eastAsia="Times New Roman" w:hAnsiTheme="majorHAnsi" w:cstheme="majorHAnsi"/>
          <w:i/>
          <w:color w:val="3C3C3C"/>
          <w:sz w:val="24"/>
          <w:szCs w:val="24"/>
        </w:rPr>
        <w:t xml:space="preserve">allowing even the most junior traders to take aggressive positions”, </w:t>
      </w:r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such as keeping them as assistant under good control o</w:t>
      </w:r>
      <w:r w:rsidR="00BD2B25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f someone with more experience, or testing their code of ethics under certain circumstances, assigning them small tasks first.</w:t>
      </w:r>
      <w:r w:rsidR="00D768CE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</w:t>
      </w:r>
    </w:p>
    <w:p w:rsidR="003036F4" w:rsidRPr="000465C5" w:rsidRDefault="00BD2B25" w:rsidP="000465C5">
      <w:pPr>
        <w:pStyle w:val="NormalWeb"/>
        <w:shd w:val="clear" w:color="auto" w:fill="FFFFFF"/>
        <w:spacing w:before="0" w:beforeAutospacing="0" w:after="340" w:afterAutospacing="0" w:line="276" w:lineRule="auto"/>
        <w:textAlignment w:val="baseline"/>
        <w:rPr>
          <w:rFonts w:asciiTheme="majorHAnsi" w:hAnsiTheme="majorHAnsi" w:cstheme="majorHAnsi"/>
          <w:color w:val="3C3C3C"/>
          <w:shd w:val="clear" w:color="auto" w:fill="FFFFFF"/>
        </w:rPr>
      </w:pPr>
      <w:r w:rsidRPr="000465C5">
        <w:rPr>
          <w:rFonts w:asciiTheme="majorHAnsi" w:hAnsiTheme="majorHAnsi" w:cstheme="majorHAnsi"/>
          <w:color w:val="3C3C3C"/>
          <w:shd w:val="clear" w:color="auto" w:fill="FFFFFF"/>
        </w:rPr>
        <w:t xml:space="preserve">Three types of computer crime </w:t>
      </w:r>
      <w:proofErr w:type="gramStart"/>
      <w:r w:rsidRPr="000465C5">
        <w:rPr>
          <w:rFonts w:asciiTheme="majorHAnsi" w:hAnsiTheme="majorHAnsi" w:cstheme="majorHAnsi"/>
          <w:color w:val="3C3C3C"/>
          <w:shd w:val="clear" w:color="auto" w:fill="FFFFFF"/>
        </w:rPr>
        <w:t>were mentioned</w:t>
      </w:r>
      <w:proofErr w:type="gramEnd"/>
      <w:r w:rsidRPr="000465C5">
        <w:rPr>
          <w:rFonts w:asciiTheme="majorHAnsi" w:hAnsiTheme="majorHAnsi" w:cstheme="majorHAnsi"/>
          <w:color w:val="3C3C3C"/>
          <w:shd w:val="clear" w:color="auto" w:fill="FFFFFF"/>
        </w:rPr>
        <w:t xml:space="preserve"> in this module</w:t>
      </w:r>
      <w:r w:rsidR="00D34939" w:rsidRPr="000465C5">
        <w:rPr>
          <w:rFonts w:asciiTheme="majorHAnsi" w:hAnsiTheme="majorHAnsi" w:cstheme="majorHAnsi"/>
          <w:color w:val="3C3C3C"/>
          <w:shd w:val="clear" w:color="auto" w:fill="FFFFFF"/>
        </w:rPr>
        <w:t>: for money, for socio-political reasons, and</w:t>
      </w:r>
      <w:r w:rsidRPr="000465C5">
        <w:rPr>
          <w:rFonts w:asciiTheme="majorHAnsi" w:hAnsiTheme="majorHAnsi" w:cstheme="majorHAnsi"/>
          <w:color w:val="3C3C3C"/>
        </w:rPr>
        <w:t xml:space="preserve"> government who attack its citizens.</w:t>
      </w:r>
      <w:r w:rsidRPr="000465C5">
        <w:rPr>
          <w:rFonts w:asciiTheme="majorHAnsi" w:hAnsiTheme="majorHAnsi" w:cstheme="majorHAnsi"/>
          <w:color w:val="3C3C3C"/>
          <w:shd w:val="clear" w:color="auto" w:fill="FFFFFF"/>
        </w:rPr>
        <w:t xml:space="preserve"> </w:t>
      </w:r>
      <w:r w:rsidR="00D768CE" w:rsidRPr="000465C5">
        <w:rPr>
          <w:rFonts w:asciiTheme="majorHAnsi" w:hAnsiTheme="majorHAnsi" w:cstheme="majorHAnsi"/>
          <w:color w:val="3C3C3C"/>
          <w:shd w:val="clear" w:color="auto" w:fill="FFFFFF"/>
        </w:rPr>
        <w:t>As mentioned in the article,</w:t>
      </w:r>
      <w:r w:rsidRPr="000465C5">
        <w:rPr>
          <w:rFonts w:asciiTheme="majorHAnsi" w:hAnsiTheme="majorHAnsi" w:cstheme="majorHAnsi"/>
          <w:color w:val="3C3C3C"/>
          <w:shd w:val="clear" w:color="auto" w:fill="FFFFFF"/>
        </w:rPr>
        <w:t xml:space="preserve"> </w:t>
      </w:r>
      <w:proofErr w:type="spellStart"/>
      <w:r w:rsidRPr="000465C5">
        <w:rPr>
          <w:rFonts w:asciiTheme="majorHAnsi" w:hAnsiTheme="majorHAnsi" w:cstheme="majorHAnsi"/>
          <w:color w:val="3C3C3C"/>
        </w:rPr>
        <w:t>Kerviel</w:t>
      </w:r>
      <w:r w:rsidR="0030162F" w:rsidRPr="000465C5">
        <w:rPr>
          <w:rFonts w:asciiTheme="majorHAnsi" w:hAnsiTheme="majorHAnsi" w:cstheme="majorHAnsi"/>
          <w:color w:val="3C3C3C"/>
        </w:rPr>
        <w:t>’s</w:t>
      </w:r>
      <w:proofErr w:type="spellEnd"/>
      <w:r w:rsidR="0030162F" w:rsidRPr="000465C5">
        <w:rPr>
          <w:rFonts w:asciiTheme="majorHAnsi" w:hAnsiTheme="majorHAnsi" w:cstheme="majorHAnsi"/>
          <w:color w:val="3C3C3C"/>
        </w:rPr>
        <w:t xml:space="preserve"> </w:t>
      </w:r>
      <w:r w:rsidR="0030162F" w:rsidRPr="000465C5">
        <w:rPr>
          <w:rFonts w:asciiTheme="majorHAnsi" w:hAnsiTheme="majorHAnsi" w:cstheme="majorHAnsi"/>
          <w:color w:val="3C3C3C"/>
        </w:rPr>
        <w:lastRenderedPageBreak/>
        <w:t>motivation belongs to the first category, simple</w:t>
      </w:r>
      <w:r w:rsidRPr="000465C5">
        <w:rPr>
          <w:rFonts w:asciiTheme="majorHAnsi" w:hAnsiTheme="majorHAnsi" w:cstheme="majorHAnsi"/>
          <w:color w:val="3C3C3C"/>
        </w:rPr>
        <w:t xml:space="preserve"> to</w:t>
      </w:r>
      <w:r w:rsidR="00D768CE" w:rsidRPr="000465C5">
        <w:rPr>
          <w:rFonts w:asciiTheme="majorHAnsi" w:hAnsiTheme="majorHAnsi" w:cstheme="majorHAnsi"/>
          <w:color w:val="3C3C3C"/>
          <w:shd w:val="clear" w:color="auto" w:fill="FFFFFF"/>
        </w:rPr>
        <w:t xml:space="preserve"> “</w:t>
      </w:r>
      <w:r w:rsidR="003036F4" w:rsidRPr="000465C5">
        <w:rPr>
          <w:rFonts w:asciiTheme="majorHAnsi" w:hAnsiTheme="majorHAnsi" w:cstheme="majorHAnsi"/>
          <w:color w:val="3C3C3C"/>
          <w:shd w:val="clear" w:color="auto" w:fill="FFFFFF"/>
        </w:rPr>
        <w:t>boost his income by making successful trades far beyond his trading limits, thus earning large bonuses (his total salary and bonus for 2007 was a relatively modest €94,000)</w:t>
      </w:r>
      <w:r w:rsidR="00D768CE" w:rsidRPr="000465C5">
        <w:rPr>
          <w:rFonts w:asciiTheme="majorHAnsi" w:hAnsiTheme="majorHAnsi" w:cstheme="majorHAnsi"/>
          <w:color w:val="3C3C3C"/>
          <w:shd w:val="clear" w:color="auto" w:fill="FFFFFF"/>
        </w:rPr>
        <w:t>”</w:t>
      </w:r>
    </w:p>
    <w:p w:rsidR="00385BAB" w:rsidRPr="000465C5" w:rsidRDefault="00385BAB" w:rsidP="000465C5">
      <w:pPr>
        <w:shd w:val="clear" w:color="auto" w:fill="FFFFFF"/>
        <w:spacing w:before="300" w:after="340" w:line="276" w:lineRule="auto"/>
        <w:jc w:val="both"/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2. What can there be an explanation for the failure of </w:t>
      </w:r>
      <w:proofErr w:type="spell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SocGen’s</w:t>
      </w:r>
      <w:proofErr w:type="spell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 internal control system to detect </w:t>
      </w:r>
      <w:proofErr w:type="spell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Kerviel’s</w:t>
      </w:r>
      <w:proofErr w:type="spell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 transactions while </w:t>
      </w:r>
      <w:proofErr w:type="spellStart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>Eurex</w:t>
      </w:r>
      <w:proofErr w:type="spellEnd"/>
      <w:r w:rsidRPr="000465C5">
        <w:rPr>
          <w:rFonts w:asciiTheme="majorHAnsi" w:eastAsia="Times New Roman" w:hAnsiTheme="majorHAnsi" w:cstheme="majorHAnsi"/>
          <w:b/>
          <w:i/>
          <w:color w:val="3C3C3C"/>
          <w:sz w:val="24"/>
          <w:szCs w:val="24"/>
        </w:rPr>
        <w:t xml:space="preserve"> detected many suspicious transactions?</w:t>
      </w:r>
    </w:p>
    <w:p w:rsidR="0030162F" w:rsidRPr="000465C5" w:rsidRDefault="00B57779" w:rsidP="000465C5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First, </w:t>
      </w:r>
      <w:r w:rsidR="0030162F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I think the problem with </w:t>
      </w:r>
      <w:proofErr w:type="spellStart"/>
      <w:r w:rsidR="0030162F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SocGen’s</w:t>
      </w:r>
      <w:proofErr w:type="spellEnd"/>
      <w:r w:rsidR="0030162F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internal control system is that they lay too much trust on an individual instead of a team and they lack in frequent checks and updates to see if something is wrong with the system.</w:t>
      </w: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Second, there seem to be some security holes in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SocGen’s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control system</w:t>
      </w:r>
      <w:r w:rsidR="0030162F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. </w:t>
      </w:r>
      <w:r w:rsidR="0030162F"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In addition, </w:t>
      </w:r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>the company</w:t>
      </w:r>
      <w:r w:rsidR="0030162F"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seemed to be too relaxed upon warnings from a third</w:t>
      </w:r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party about the risks involved “</w:t>
      </w: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The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SocGen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risk-control expert used information provided by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Kerviel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and his supervisor as well as a compliance officer at a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SocGen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subsidiary as the basis of both of his replies to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Eurex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”</w:t>
      </w:r>
    </w:p>
    <w:p w:rsidR="0030162F" w:rsidRPr="000465C5" w:rsidRDefault="0030162F" w:rsidP="000465C5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On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Kerviel’s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side, I believe he has great skills in </w:t>
      </w:r>
      <w:r w:rsidR="00B57779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computer. Specifically, he was able to evade the </w:t>
      </w:r>
      <w:r w:rsidR="00B57779"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famous </w:t>
      </w:r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internal controls system in </w:t>
      </w:r>
      <w:proofErr w:type="spellStart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>SocGen</w:t>
      </w:r>
      <w:proofErr w:type="spellEnd"/>
      <w:r w:rsidRPr="000465C5">
        <w:rPr>
          <w:rFonts w:asciiTheme="majorHAnsi" w:eastAsia="Times New Roman" w:hAnsiTheme="majorHAnsi" w:cstheme="majorHAnsi"/>
          <w:color w:val="3C3C3C"/>
          <w:sz w:val="24"/>
          <w:szCs w:val="24"/>
        </w:rPr>
        <w:t xml:space="preserve"> and take advantage of the trust his boss gives him to continue his fraud for such a long time.</w:t>
      </w:r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</w:t>
      </w:r>
    </w:p>
    <w:p w:rsidR="00B57779" w:rsidRPr="000465C5" w:rsidRDefault="00B57779" w:rsidP="000465C5">
      <w:pPr>
        <w:shd w:val="clear" w:color="auto" w:fill="FFFFFF"/>
        <w:spacing w:after="0" w:line="276" w:lineRule="auto"/>
        <w:jc w:val="both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On </w:t>
      </w:r>
      <w:proofErr w:type="spellStart"/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>Eurex’s</w:t>
      </w:r>
      <w:proofErr w:type="spellEnd"/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side, they detected the problem and sent out warnings but it </w:t>
      </w:r>
      <w:proofErr w:type="gramStart"/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>was not done</w:t>
      </w:r>
      <w:proofErr w:type="gramEnd"/>
      <w:r w:rsidRPr="000465C5"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 thoroughly “</w:t>
      </w: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Following another two-week delay,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SocGen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provided further details, and both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Eurex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and </w:t>
      </w:r>
      <w:proofErr w:type="spellStart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SocGen</w:t>
      </w:r>
      <w:proofErr w:type="spellEnd"/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let the matter drop</w:t>
      </w: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”</w:t>
      </w:r>
      <w:r w:rsidR="00C409E7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. In this case, </w:t>
      </w:r>
      <w:proofErr w:type="spellStart"/>
      <w:r w:rsidR="00C409E7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Eurex</w:t>
      </w:r>
      <w:proofErr w:type="spellEnd"/>
      <w:r w:rsidR="00C409E7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could have reported to an independent investigative agent for further investigation.</w:t>
      </w:r>
    </w:p>
    <w:p w:rsidR="000465C5" w:rsidRDefault="00E52FB5" w:rsidP="000465C5">
      <w:pPr>
        <w:spacing w:line="276" w:lineRule="auto"/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</w:pPr>
      <w:r w:rsidRPr="000465C5">
        <w:rPr>
          <w:rFonts w:asciiTheme="majorHAnsi" w:hAnsiTheme="majorHAnsi" w:cstheme="majorHAnsi"/>
          <w:sz w:val="24"/>
          <w:szCs w:val="24"/>
        </w:rPr>
        <w:t xml:space="preserve">The economic impact of the security problems is significant. The company’s fame is heavily </w:t>
      </w:r>
      <w:proofErr w:type="gramStart"/>
      <w:r w:rsidRPr="000465C5">
        <w:rPr>
          <w:rFonts w:asciiTheme="majorHAnsi" w:hAnsiTheme="majorHAnsi" w:cstheme="majorHAnsi"/>
          <w:sz w:val="24"/>
          <w:szCs w:val="24"/>
        </w:rPr>
        <w:t>tarnished,</w:t>
      </w:r>
      <w:proofErr w:type="gramEnd"/>
      <w:r w:rsidRPr="000465C5">
        <w:rPr>
          <w:rFonts w:asciiTheme="majorHAnsi" w:hAnsiTheme="majorHAnsi" w:cstheme="majorHAnsi"/>
          <w:sz w:val="24"/>
          <w:szCs w:val="24"/>
        </w:rPr>
        <w:t xml:space="preserve"> its </w:t>
      </w: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market value dropped 50 percent over the course of just a few months and a loss of more than €4.9 billion.</w:t>
      </w:r>
    </w:p>
    <w:p w:rsidR="00E52FB5" w:rsidRPr="000465C5" w:rsidRDefault="00C409E7" w:rsidP="000465C5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Finally, there were severe ethics problem</w:t>
      </w:r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s</w:t>
      </w: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in this case. </w:t>
      </w:r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First, as regards</w:t>
      </w:r>
      <w:r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JK, he clearly took advantage of his position as a trader to exceed his trading limit </w:t>
      </w:r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to get money for himself. Even after </w:t>
      </w:r>
      <w:proofErr w:type="spellStart"/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Eurex’s</w:t>
      </w:r>
      <w:proofErr w:type="spellEnd"/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warnings, he continued his misconduct to cover his crime. Second, </w:t>
      </w:r>
      <w:proofErr w:type="spellStart"/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SocGen</w:t>
      </w:r>
      <w:proofErr w:type="spellEnd"/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discovered the problem but just let it be instead of acting upon it. Third, </w:t>
      </w:r>
      <w:proofErr w:type="spellStart"/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>Eurex</w:t>
      </w:r>
      <w:proofErr w:type="spellEnd"/>
      <w:r w:rsidR="000465C5" w:rsidRPr="000465C5">
        <w:rPr>
          <w:rFonts w:asciiTheme="majorHAnsi" w:hAnsiTheme="majorHAnsi" w:cstheme="majorHAnsi"/>
          <w:color w:val="3C3C3C"/>
          <w:sz w:val="24"/>
          <w:szCs w:val="24"/>
          <w:shd w:val="clear" w:color="auto" w:fill="FFFFFF"/>
        </w:rPr>
        <w:t xml:space="preserve"> should have been more radical in their investigation to prevent further losses.</w:t>
      </w:r>
    </w:p>
    <w:sectPr w:rsidR="00E52FB5" w:rsidRPr="0004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D8"/>
    <w:rsid w:val="000465C5"/>
    <w:rsid w:val="000C65B0"/>
    <w:rsid w:val="00242191"/>
    <w:rsid w:val="002A15DC"/>
    <w:rsid w:val="002E6DA4"/>
    <w:rsid w:val="0030162F"/>
    <w:rsid w:val="003036F4"/>
    <w:rsid w:val="00385BAB"/>
    <w:rsid w:val="003E122D"/>
    <w:rsid w:val="005A358F"/>
    <w:rsid w:val="007E771B"/>
    <w:rsid w:val="008C3826"/>
    <w:rsid w:val="008D008C"/>
    <w:rsid w:val="00A020D8"/>
    <w:rsid w:val="00A230DE"/>
    <w:rsid w:val="00A871D8"/>
    <w:rsid w:val="00A94323"/>
    <w:rsid w:val="00AD7E3D"/>
    <w:rsid w:val="00B57779"/>
    <w:rsid w:val="00BD2B25"/>
    <w:rsid w:val="00BF3264"/>
    <w:rsid w:val="00C409E7"/>
    <w:rsid w:val="00D23C80"/>
    <w:rsid w:val="00D34939"/>
    <w:rsid w:val="00D768CE"/>
    <w:rsid w:val="00E52FB5"/>
    <w:rsid w:val="00F244E5"/>
    <w:rsid w:val="00F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9BD5"/>
  <w15:chartTrackingRefBased/>
  <w15:docId w15:val="{CC08EA39-1389-4365-B1F4-79453BA7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A230DE"/>
    <w:pPr>
      <w:outlineLvl w:val="0"/>
    </w:pPr>
    <w:rPr>
      <w:rFonts w:ascii="Times New Roman" w:hAnsi="Times New Roman"/>
      <w:sz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E6D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0DE"/>
    <w:rPr>
      <w:rFonts w:ascii="Times New Roman" w:eastAsiaTheme="majorEastAsia" w:hAnsi="Times New Roman" w:cstheme="majorBidi"/>
      <w:color w:val="2E74B5" w:themeColor="accent1" w:themeShade="BF"/>
      <w:sz w:val="3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0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71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2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oh-">
    <w:name w:val="_3oh-"/>
    <w:basedOn w:val="DefaultParagraphFont"/>
    <w:rsid w:val="002E6DA4"/>
  </w:style>
  <w:style w:type="character" w:customStyle="1" w:styleId="Heading5Char">
    <w:name w:val="Heading 5 Char"/>
    <w:basedOn w:val="DefaultParagraphFont"/>
    <w:link w:val="Heading5"/>
    <w:uiPriority w:val="9"/>
    <w:rsid w:val="002E6DA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53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746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481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8292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2514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179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160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91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362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462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6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47667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47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118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996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397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85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64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192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8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0606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C56DB-1886-4189-9D76-6342F9D1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Nguyễn</dc:creator>
  <cp:keywords/>
  <dc:description/>
  <cp:lastModifiedBy>Emily Nguyễn</cp:lastModifiedBy>
  <cp:revision>14</cp:revision>
  <dcterms:created xsi:type="dcterms:W3CDTF">2019-09-26T14:53:00Z</dcterms:created>
  <dcterms:modified xsi:type="dcterms:W3CDTF">2019-10-09T07:10:00Z</dcterms:modified>
</cp:coreProperties>
</file>