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60.png" ContentType="image/png"/>
  <Override PartName="/word/media/rId64.png" ContentType="image/png"/>
  <Override PartName="/word/media/rId38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Компьютерный практикум по статистическому анализу данных</w:t>
      </w:r>
    </w:p>
    <w:p>
      <w:pPr>
        <w:pStyle w:val="Author"/>
      </w:pPr>
      <w:r>
        <w:t xml:space="preserve">Выполнил: Танрибергенов Эльдар (НПИбд-01-22)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55" w:name="Xd334ed27a1ef487d0bed26bc9dd5b323bb6253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Решение обыкновенных дифференциальных уравнений</w:t>
      </w:r>
    </w:p>
    <w:p>
      <w:pPr>
        <w:pStyle w:val="FirstParagraph"/>
      </w:pPr>
      <w:r>
        <w:t xml:space="preserve">Обыкновенное дифференциальное уравнение (ОДУ) описывает изменение некоторой переменной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, где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— нелинейная модель (функция) изменения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 заданным начальным</w:t>
      </w:r>
      <w:r>
        <w:t xml:space="preserve"> </w:t>
      </w:r>
      <w:r>
        <w:t xml:space="preserve">значением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параметры модели,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время.</w:t>
      </w:r>
      <w:r>
        <w:t xml:space="preserve"> </w:t>
      </w:r>
      <w:r>
        <w:t xml:space="preserve">Для решения обыкновенных дифференциальных уравнений (ОДУ) в Julia можно использовать пакет diffrentialEquations.jl.</w:t>
      </w:r>
    </w:p>
    <w:bookmarkStart w:id="37" w:name="модель-экспоненциального-рост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 описываемую уравнением</w:t>
      </w:r>
    </w:p>
    <w:p>
      <w:pPr>
        <w:pStyle w:val="BodyText"/>
      </w:pPr>
      <m:oMath>
        <m:r>
          <m:t>u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α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где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роста.Предположим, что заданы следующие начальные данные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0.98</m:t>
        </m:r>
      </m:oMath>
      <w:r>
        <w:t xml:space="preserve">, u(0) = 1,0,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Аналитическое решение модели имеет вид:</w:t>
      </w:r>
    </w:p>
    <w:p>
      <w:pPr>
        <w:pStyle w:val="BodyText"/>
      </w:pP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e</m:t>
        </m:r>
        <m:r>
          <m:t>x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t</m:t>
            </m:r>
          </m:e>
        </m:d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Численное решение в Julia будет иметь следующий вид:</w:t>
      </w:r>
    </w:p>
    <w:bookmarkStart w:id="24" w:name="fig:001"/>
    <w:p>
      <w:pPr>
        <w:pStyle w:val="CaptionedFigure"/>
      </w:pPr>
      <w:r>
        <w:drawing>
          <wp:inline>
            <wp:extent cx="5334000" cy="3569804"/>
            <wp:effectExtent b="0" l="0" r="0" t="0"/>
            <wp:docPr descr="Рис. 1: Численное решение модели экспоненциального роста" title="" id="22" name="Picture"/>
            <a:graphic>
              <a:graphicData uri="http://schemas.openxmlformats.org/drawingml/2006/picture">
                <pic:pic>
                  <pic:nvPicPr>
                    <pic:cNvPr descr="../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Численное решение модели экспоненциального роста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3814904"/>
            <wp:effectExtent b="0" l="0" r="0" t="0"/>
            <wp:docPr descr="Рис. 2: График: модель экспоненциального роста" title="" id="26" name="Picture"/>
            <a:graphic>
              <a:graphicData uri="http://schemas.openxmlformats.org/drawingml/2006/picture">
                <pic:pic>
                  <pic:nvPicPr>
                    <pic:cNvPr descr="../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График: модель экспоненциального роста</w:t>
      </w:r>
    </w:p>
    <w:bookmarkEnd w:id="28"/>
    <w:p>
      <w:pPr>
        <w:pStyle w:val="BodyText"/>
      </w:pPr>
      <w:r>
        <w:t xml:space="preserve">При построении одного из графиков использовался вызов sol.t, чтобы захватить</w:t>
      </w:r>
      <w:r>
        <w:t xml:space="preserve"> </w:t>
      </w:r>
      <w:r>
        <w:t xml:space="preserve">массив моментов времени. Массив решений можно получить, воспользовавшись sol.u.</w:t>
      </w:r>
      <w:r>
        <w:t xml:space="preserve"> </w:t>
      </w:r>
      <w:r>
        <w:t xml:space="preserve">Если требуется задать точность решения, то можно воспользоваться параметрами</w:t>
      </w:r>
      <w:r>
        <w:t xml:space="preserve"> </w:t>
      </w:r>
      <w:r>
        <w:t xml:space="preserve">abstol (задаёт близость к нулю) и reltol (задаёт относительную точность).</w:t>
      </w:r>
    </w:p>
    <w:bookmarkStart w:id="32" w:name="fig:003"/>
    <w:p>
      <w:pPr>
        <w:pStyle w:val="CaptionedFigure"/>
      </w:pPr>
      <w:r>
        <w:drawing>
          <wp:inline>
            <wp:extent cx="5334000" cy="786301"/>
            <wp:effectExtent b="0" l="0" r="0" t="0"/>
            <wp:docPr descr="Рис. 3: Задание точности" title="" id="30" name="Picture"/>
            <a:graphic>
              <a:graphicData uri="http://schemas.openxmlformats.org/drawingml/2006/picture">
                <pic:pic>
                  <pic:nvPicPr>
                    <pic:cNvPr descr="../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точности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3332375"/>
            <wp:effectExtent b="0" l="0" r="0" t="0"/>
            <wp:docPr descr="Рис. 4: График: модель экспоненциального роста с заданной точностью" title="" id="34" name="Picture"/>
            <a:graphic>
              <a:graphicData uri="http://schemas.openxmlformats.org/drawingml/2006/picture">
                <pic:pic>
                  <pic:nvPicPr>
                    <pic:cNvPr descr="../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График: модель экспоненциального роста с заданной точностью</w:t>
      </w:r>
    </w:p>
    <w:bookmarkEnd w:id="36"/>
    <w:bookmarkEnd w:id="37"/>
    <w:bookmarkStart w:id="54" w:name="система-лоренца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 уравнений третьего порядка:</w:t>
      </w:r>
    </w:p>
    <w:bookmarkStart w:id="41" w:name="fig:005"/>
    <w:p>
      <w:pPr>
        <w:pStyle w:val="CaptionedFigure"/>
      </w:pPr>
      <w:r>
        <w:drawing>
          <wp:inline>
            <wp:extent cx="5334000" cy="1101705"/>
            <wp:effectExtent b="0" l="0" r="0" t="0"/>
            <wp:docPr descr="Рис. 5: Система Лоренца" title="" id="39" name="Picture"/>
            <a:graphic>
              <a:graphicData uri="http://schemas.openxmlformats.org/drawingml/2006/picture">
                <pic:pic>
                  <pic:nvPicPr>
                    <pic:cNvPr descr="../images/Lawrence_syste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Система Лоренца</w:t>
      </w:r>
    </w:p>
    <w:bookmarkEnd w:id="41"/>
    <w:p>
      <w:pPr>
        <w:pStyle w:val="BodyText"/>
      </w:pPr>
      <w:r>
        <w:t xml:space="preserve">Система получена из системы уравнений Навье–Стокса и описывает движение</w:t>
      </w:r>
      <w:r>
        <w:t xml:space="preserve"> </w:t>
      </w:r>
      <w:r>
        <w:t xml:space="preserve">воздушных потоков в плоском слое жидкости постоянной толщины при разложении</w:t>
      </w:r>
      <w:r>
        <w:t xml:space="preserve"> </w:t>
      </w:r>
      <w:r>
        <w:t xml:space="preserve">скорости течения и температуры в двойные ряды Фурье с последующем усечением до</w:t>
      </w:r>
      <w:r>
        <w:t xml:space="preserve"> </w:t>
      </w:r>
      <w:r>
        <w:t xml:space="preserve">первых-вторых гармоник.</w:t>
      </w:r>
      <w:r>
        <w:t xml:space="preserve"> </w:t>
      </w:r>
      <w:r>
        <w:t xml:space="preserve">Решение системы неустойчиво на аттракторе, что не позволяет применять классические численные методы на больших отрезках времени, требуется использовать</w:t>
      </w:r>
      <w:r>
        <w:t xml:space="preserve"> </w:t>
      </w:r>
      <w:r>
        <w:t xml:space="preserve">высокоточные вычисления.</w:t>
      </w:r>
      <w:r>
        <w:t xml:space="preserve"> </w:t>
      </w:r>
      <w:r>
        <w:t xml:space="preserve">Численное решение в Julia будет иметь следующий вид:</w:t>
      </w:r>
    </w:p>
    <w:bookmarkStart w:id="45" w:name="fig:006"/>
    <w:p>
      <w:pPr>
        <w:pStyle w:val="CaptionedFigure"/>
      </w:pPr>
      <w:r>
        <w:drawing>
          <wp:inline>
            <wp:extent cx="5334000" cy="4738456"/>
            <wp:effectExtent b="0" l="0" r="0" t="0"/>
            <wp:docPr descr="Рис. 6: Численное решение системы Лоренца" title="" id="43" name="Picture"/>
            <a:graphic>
              <a:graphicData uri="http://schemas.openxmlformats.org/drawingml/2006/picture">
                <pic:pic>
                  <pic:nvPicPr>
                    <pic:cNvPr descr="../images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Численное решение системы Лоренца</w:t>
      </w:r>
    </w:p>
    <w:bookmarkEnd w:id="45"/>
    <w:bookmarkStart w:id="49" w:name="fig:007"/>
    <w:p>
      <w:pPr>
        <w:pStyle w:val="CaptionedFigure"/>
      </w:pPr>
      <w:r>
        <w:drawing>
          <wp:inline>
            <wp:extent cx="5334000" cy="4221996"/>
            <wp:effectExtent b="0" l="0" r="0" t="0"/>
            <wp:docPr descr="Рис. 7: График: Аттрактор Лоренца" title="" id="47" name="Picture"/>
            <a:graphic>
              <a:graphicData uri="http://schemas.openxmlformats.org/drawingml/2006/picture">
                <pic:pic>
                  <pic:nvPicPr>
                    <pic:cNvPr descr="../images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1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График: Аттрактор Лоренца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2550694"/>
            <wp:effectExtent b="0" l="0" r="0" t="0"/>
            <wp:docPr descr="Рис. 8: График: Аттрактор Лоренца (интерполяция отключена)" title="" id="51" name="Picture"/>
            <a:graphic>
              <a:graphicData uri="http://schemas.openxmlformats.org/drawingml/2006/picture">
                <pic:pic>
                  <pic:nvPicPr>
                    <pic:cNvPr descr="../images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График: Аттрактор Лоренца (интерполяция отключена)</w:t>
      </w:r>
    </w:p>
    <w:bookmarkEnd w:id="53"/>
    <w:bookmarkEnd w:id="54"/>
    <w:bookmarkEnd w:id="55"/>
    <w:bookmarkStart w:id="72" w:name="модель-лоткивольтерр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Лотки–Вольтерры</w:t>
      </w:r>
    </w:p>
    <w:bookmarkStart w:id="59" w:name="fig:009"/>
    <w:p>
      <w:pPr>
        <w:pStyle w:val="CaptionedFigure"/>
      </w:pPr>
      <w:r>
        <w:drawing>
          <wp:inline>
            <wp:extent cx="5334000" cy="1448340"/>
            <wp:effectExtent b="0" l="0" r="0" t="0"/>
            <wp:docPr descr="Рис. 9: Модель Лотки–Вольтерры" title="" id="57" name="Picture"/>
            <a:graphic>
              <a:graphicData uri="http://schemas.openxmlformats.org/drawingml/2006/picture">
                <pic:pic>
                  <pic:nvPicPr>
                    <pic:cNvPr descr="../images/Lotka_Volterra_mode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Лотки–Вольтерры</w:t>
      </w:r>
    </w:p>
    <w:bookmarkEnd w:id="59"/>
    <w:p>
      <w:pPr>
        <w:pStyle w:val="BodyText"/>
      </w:pPr>
      <w:r>
        <w:t xml:space="preserve">Численное решение в Julia будет иметь следующий вид:</w:t>
      </w:r>
    </w:p>
    <w:bookmarkStart w:id="63" w:name="fig:010"/>
    <w:p>
      <w:pPr>
        <w:pStyle w:val="CaptionedFigure"/>
      </w:pPr>
      <w:r>
        <w:drawing>
          <wp:inline>
            <wp:extent cx="5334000" cy="1991950"/>
            <wp:effectExtent b="0" l="0" r="0" t="0"/>
            <wp:docPr descr="Рис. 10: Численное решение модели Лотки–Вольтерры" title="" id="61" name="Picture"/>
            <a:graphic>
              <a:graphicData uri="http://schemas.openxmlformats.org/drawingml/2006/picture">
                <pic:pic>
                  <pic:nvPicPr>
                    <pic:cNvPr descr="../images/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Численное решение модели Лотки–Вольтерры</w:t>
      </w:r>
    </w:p>
    <w:bookmarkEnd w:id="63"/>
    <w:bookmarkStart w:id="67" w:name="fig:011"/>
    <w:p>
      <w:pPr>
        <w:pStyle w:val="CaptionedFigure"/>
      </w:pPr>
      <w:r>
        <w:drawing>
          <wp:inline>
            <wp:extent cx="5334000" cy="3212877"/>
            <wp:effectExtent b="0" l="0" r="0" t="0"/>
            <wp:docPr descr="Рис. 11: Модель Лотки–Вольтерры: динамика изменения численности популяций" title="" id="65" name="Picture"/>
            <a:graphic>
              <a:graphicData uri="http://schemas.openxmlformats.org/drawingml/2006/picture">
                <pic:pic>
                  <pic:nvPicPr>
                    <pic:cNvPr descr="../images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Модель Лотки–Вольтерры: динамика изменения численности популяций</w:t>
      </w:r>
    </w:p>
    <w:bookmarkEnd w:id="67"/>
    <w:bookmarkStart w:id="71" w:name="fig:012"/>
    <w:p>
      <w:pPr>
        <w:pStyle w:val="CaptionedFigure"/>
      </w:pPr>
      <w:r>
        <w:drawing>
          <wp:inline>
            <wp:extent cx="5334000" cy="3665775"/>
            <wp:effectExtent b="0" l="0" r="0" t="0"/>
            <wp:docPr descr="Рис. 12: Модель Лотки–Вольтерры: фазовый портрет" title="" id="69" name="Picture"/>
            <a:graphic>
              <a:graphicData uri="http://schemas.openxmlformats.org/drawingml/2006/picture">
                <pic:pic>
                  <pic:nvPicPr>
                    <pic:cNvPr descr="../images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Модель Лотки–Вольтерры: фазовый портрет</w:t>
      </w:r>
    </w:p>
    <w:bookmarkEnd w:id="71"/>
    <w:bookmarkEnd w:id="72"/>
    <w:bookmarkStart w:id="97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Задания для самостоятельного выполнения</w:t>
      </w:r>
    </w:p>
    <w:bookmarkStart w:id="76" w:name="fig:013"/>
    <w:p>
      <w:pPr>
        <w:pStyle w:val="CaptionedFigure"/>
      </w:pPr>
      <w:r>
        <w:drawing>
          <wp:inline>
            <wp:extent cx="5334000" cy="3455987"/>
            <wp:effectExtent b="0" l="0" r="0" t="0"/>
            <wp:docPr descr="Рис. 13: Модель роста численности изолированной популяции (модель Мальтуса)" title="" id="74" name="Picture"/>
            <a:graphic>
              <a:graphicData uri="http://schemas.openxmlformats.org/drawingml/2006/picture">
                <pic:pic>
                  <pic:nvPicPr>
                    <pic:cNvPr descr="../images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Модель роста численности изолированной популяции (модель Мальтуса)</w:t>
      </w:r>
    </w:p>
    <w:bookmarkEnd w:id="76"/>
    <w:bookmarkStart w:id="80" w:name="fig:014"/>
    <w:p>
      <w:pPr>
        <w:pStyle w:val="CaptionedFigure"/>
      </w:pPr>
      <w:r>
        <w:drawing>
          <wp:inline>
            <wp:extent cx="5334000" cy="3123835"/>
            <wp:effectExtent b="0" l="0" r="0" t="0"/>
            <wp:docPr descr="Рис. 14: Модель Мальтуса: график" title="" id="78" name="Picture"/>
            <a:graphic>
              <a:graphicData uri="http://schemas.openxmlformats.org/drawingml/2006/picture">
                <pic:pic>
                  <pic:nvPicPr>
                    <pic:cNvPr descr="../images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Модель Мальтуса: график</w:t>
      </w:r>
    </w:p>
    <w:bookmarkEnd w:id="80"/>
    <w:bookmarkStart w:id="84" w:name="fig:015"/>
    <w:p>
      <w:pPr>
        <w:pStyle w:val="CaptionedFigure"/>
      </w:pPr>
      <w:r>
        <w:drawing>
          <wp:inline>
            <wp:extent cx="5334000" cy="1790269"/>
            <wp:effectExtent b="0" l="0" r="0" t="0"/>
            <wp:docPr descr="Рис. 15: Логистическая модель роста популяции" title="" id="82" name="Picture"/>
            <a:graphic>
              <a:graphicData uri="http://schemas.openxmlformats.org/drawingml/2006/picture">
                <pic:pic>
                  <pic:nvPicPr>
                    <pic:cNvPr descr="../images/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Логистическая модель роста популяции</w:t>
      </w:r>
    </w:p>
    <w:bookmarkEnd w:id="84"/>
    <w:bookmarkStart w:id="88" w:name="fig:016"/>
    <w:p>
      <w:pPr>
        <w:pStyle w:val="CaptionedFigure"/>
      </w:pPr>
      <w:r>
        <w:drawing>
          <wp:inline>
            <wp:extent cx="5334000" cy="3089971"/>
            <wp:effectExtent b="0" l="0" r="0" t="0"/>
            <wp:docPr descr="Рис. 16: Логистическая модель роста популяции: график" title="" id="86" name="Picture"/>
            <a:graphic>
              <a:graphicData uri="http://schemas.openxmlformats.org/drawingml/2006/picture">
                <pic:pic>
                  <pic:nvPicPr>
                    <pic:cNvPr descr="../images/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Логистическая модель роста популяции: график</w:t>
      </w:r>
    </w:p>
    <w:bookmarkEnd w:id="88"/>
    <w:bookmarkStart w:id="92" w:name="fig:017"/>
    <w:p>
      <w:pPr>
        <w:pStyle w:val="CaptionedFigure"/>
      </w:pPr>
      <w:r>
        <w:drawing>
          <wp:inline>
            <wp:extent cx="5334000" cy="5072813"/>
            <wp:effectExtent b="0" l="0" r="0" t="0"/>
            <wp:docPr descr="Рис. 17: Модель эпидемии Кермака–Маккендрика (SIR-модель)" title="" id="90" name="Picture"/>
            <a:graphic>
              <a:graphicData uri="http://schemas.openxmlformats.org/drawingml/2006/picture">
                <pic:pic>
                  <pic:nvPicPr>
                    <pic:cNvPr descr="../images/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2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Модель эпидемии Кермака–Маккендрика (SIR-модель)</w:t>
      </w:r>
    </w:p>
    <w:bookmarkEnd w:id="92"/>
    <w:bookmarkStart w:id="96" w:name="fig:018"/>
    <w:p>
      <w:pPr>
        <w:pStyle w:val="CaptionedFigure"/>
      </w:pPr>
      <w:r>
        <w:drawing>
          <wp:inline>
            <wp:extent cx="5334000" cy="3294054"/>
            <wp:effectExtent b="0" l="0" r="0" t="0"/>
            <wp:docPr descr="Рис. 18: SIR-модель: график" title="" id="94" name="Picture"/>
            <a:graphic>
              <a:graphicData uri="http://schemas.openxmlformats.org/drawingml/2006/picture">
                <pic:pic>
                  <pic:nvPicPr>
                    <pic:cNvPr descr="../images/1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SIR-модель: график</w:t>
      </w:r>
    </w:p>
    <w:bookmarkEnd w:id="96"/>
    <w:bookmarkEnd w:id="97"/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работы, я освоил специализированные пакеты для решения задач в непрерывном и дискретном времени.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38" Target="media/rId38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Выполнил: Танрибергенов Эльдар (НПИбд-01-22)</dc:creator>
  <dc:language>ru-RU</dc:language>
  <cp:keywords/>
  <dcterms:created xsi:type="dcterms:W3CDTF">2026-03-16T08:56:56Z</dcterms:created>
  <dcterms:modified xsi:type="dcterms:W3CDTF">2026-03-16T08:56:56Z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