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1440"/>
        <w:jc w:val="center"/>
      </w:pPr>
      <w:r>
        <w:rPr>
          <w:rFonts w:ascii="Calibri" w:cs="Calibri" w:eastAsia="Calibri" w:hAnsi="Calibri"/>
          <w:b/>
          <w:bCs/>
          <w:color w:val="1a5c1a"/>
          <w:sz w:val="80"/>
          <w:szCs w:val="80"/>
        </w:rPr>
        <w:t xml:space="preserve">SmartSpend</w:t>
      </w:r>
    </w:p>
    <w:p>
      <w:pPr>
        <w:spacing w:after="200" w:before="0"/>
        <w:jc w:val="center"/>
      </w:pPr>
      <w:r>
        <w:rPr>
          <w:rFonts w:ascii="Calibri" w:cs="Calibri" w:eastAsia="Calibri" w:hAnsi="Calibri"/>
          <w:color w:val="27ae60"/>
          <w:sz w:val="36"/>
          <w:szCs w:val="36"/>
        </w:rPr>
        <w:t xml:space="preserve">Spending Efficiency Analysis in the Turkish Super Lig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7f8c8d"/>
          <w:sz w:val="28"/>
          <w:szCs w:val="28"/>
        </w:rPr>
        <w:t xml:space="preserve">Seasons 2023-24  |  2024-25  |  2025-26</w:t>
      </w:r>
    </w:p>
    <w:p>
      <w:pPr>
        <w:pBdr>
          <w:bottom w:val="single" w:color="27ae60" w:sz="6" w:space="1"/>
        </w:pBdr>
        <w:spacing w:after="160" w:before="160"/>
      </w:pPr>
    </w:p>
    <w:p>
      <w:pPr>
        <w:spacing w:after="100" w:before="40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6"/>
          <w:szCs w:val="26"/>
        </w:rPr>
        <w:t xml:space="preserve">Saltuk Bugrahan Tasdemir</w:t>
      </w:r>
    </w:p>
    <w:p>
      <w:pPr>
        <w:spacing w:after="40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6"/>
          <w:szCs w:val="26"/>
        </w:rPr>
        <w:t xml:space="preserve">Kerem Berkalp Cerekci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f8c8d"/>
          <w:sz w:val="22"/>
          <w:szCs w:val="22"/>
        </w:rPr>
        <w:t xml:space="preserve">EMU430 — Data Analytics  |  Hacettepe University  |  May 2026</w:t>
      </w:r>
    </w:p>
    <w:p>
      <w:r>
        <w:br w:type="page"/>
      </w:r>
    </w:p>
    <w:p>
      <w:pPr>
        <w:pStyle w:val="Heading1"/>
        <w:pBdr>
          <w:bottom w:val="single" w:color="1a5c1a" w:sz="8" w:space="2"/>
        </w:pBdr>
        <w:spacing w:after="160" w:before="360"/>
      </w:pPr>
      <w:r>
        <w:rPr>
          <w:rFonts w:ascii="Calibri" w:cs="Calibri" w:eastAsia="Calibri" w:hAnsi="Calibri"/>
          <w:b/>
          <w:bCs/>
          <w:color w:val="1a5c1a"/>
          <w:sz w:val="38"/>
          <w:szCs w:val="38"/>
        </w:rPr>
        <w:t xml:space="preserve">1. Executive Summary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2"/>
          <w:szCs w:val="22"/>
        </w:rPr>
        <w:t xml:space="preserve">SmartSpend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 investigates the relationship between squad market values and points performance in the Turkish Super Lig across three seasons (2023-24, 2024-25, 2025-26). The core research question: </w:t>
      </w:r>
      <w:r>
        <w:rPr>
          <w:rFonts w:ascii="Calibri" w:cs="Calibri" w:eastAsia="Calibri" w:hAnsi="Calibri"/>
          <w:b/>
          <w:bCs/>
          <w:i/>
          <w:iCs/>
          <w:color w:val="1a5c1a"/>
          <w:sz w:val="22"/>
          <w:szCs w:val="22"/>
        </w:rPr>
        <w:t xml:space="preserve">Which clubs get the most points per Euro spent?</w:t>
      </w:r>
    </w:p>
    <w:p>
      <w:pPr>
        <w:spacing w:after="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a5c1a"/>
                <w:sz w:val="22"/>
                <w:szCs w:val="22"/>
              </w:rPr>
              <w:t xml:space="preserve">Key Findings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1)  Strong positive correlation between squad value and points (r = 0.855 average across seasons).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2)  Galatasaray is the most efficient large-budget club across all three seasons (avg. efficiency score +6.9).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3)  Samsunspor and Sivasspor consistently over-perform their budgets by large margins.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4)  Forward wage spending shows a NEGATIVE correlation with goals scored (r = -0.12) -- expensive strikers do not guarantee goals.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5)  The Best XI selected by G+A per EUR million is composed almost entirely of mid-table club players.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pBdr>
          <w:bottom w:val="single" w:color="1a5c1a" w:sz="8" w:space="2"/>
        </w:pBdr>
        <w:spacing w:after="160" w:before="360"/>
      </w:pPr>
      <w:r>
        <w:rPr>
          <w:rFonts w:ascii="Calibri" w:cs="Calibri" w:eastAsia="Calibri" w:hAnsi="Calibri"/>
          <w:b/>
          <w:bCs/>
          <w:color w:val="1a5c1a"/>
          <w:sz w:val="38"/>
          <w:szCs w:val="38"/>
        </w:rPr>
        <w:t xml:space="preserve">2. Data Sources and Methodology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7ae60"/>
          <w:sz w:val="28"/>
          <w:szCs w:val="28"/>
        </w:rPr>
        <w:t xml:space="preserve">2.1 Data Sources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Variables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Transfermarkt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3 seasons, ~20 clubs/season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Player market value (EUR), squad_name, player_position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FBref (StatsBomb)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3 seasons, club &amp; player level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Points, W/D/L, Goals, Assists, Minutes, Position, Save%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Capology.com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Club-level, 3 seasons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Annual total wage bill (EUR)</w:t>
            </w:r>
          </w:p>
        </w:tc>
      </w:tr>
    </w:tbl>
    <w:p>
      <w:pPr>
        <w:spacing w:after="0" w:before="10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Player market values were retrieved via direct HTTP scraping of Transfermarkt using browser-mimicking headers (httr + rvest in R). Sleep delays were applied between requests to respect rate limits. FBref standings and player statistics were collected using the worldfootballR package.</w:t>
      </w:r>
    </w:p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7ae60"/>
          <w:sz w:val="28"/>
          <w:szCs w:val="28"/>
        </w:rPr>
        <w:t xml:space="preserve">2.2 Dataset Dimensions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000"/>
        <w:gridCol w:w="322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Dataset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Rows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Coverage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team_season (club-season pairs)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57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20 + 19 + 18 clubs across 3 seasons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player_full (player statistics)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1,840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Position, goals, assists, minutes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squad_values (squad values)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57</w:t>
            </w:r>
          </w:p>
        </w:tc>
        <w:tc>
          <w:tcPr>
            <w:tcW w:type="dxa" w:w="3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Avg. player value per club-season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7ae60"/>
          <w:sz w:val="28"/>
          <w:szCs w:val="28"/>
        </w:rPr>
        <w:t xml:space="preserve">2.3 Pre-processing 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Team name standardisation — Transfermarkt, FBref, and Capology use different name formats; a lookup table maps all variants to a canonical form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Squad market value aggregation — sum of player values per club-season; derive avg_player_value_eur and squad_size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FBref standings cleaning — cast W/D/L/Pts to integer; filter rows where Pts is NA (e.g. Hatayspor withdrawal in 2023-24)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Player position normalisation — full Transfermarkt position names (e.g. 'Centre-Forward', 'Right Winger') mapped to short codes (ST, RW,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January transfer adjustment — players arriving in the winter window have their annual wage halved before inclusion in team totals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Player-team-season deduplication and left-join merge with market value data</w:t>
      </w:r>
    </w:p>
    <w:p>
      <w:pPr>
        <w:spacing w:after="0" w:before="200"/>
      </w:pPr>
    </w:p>
    <w:p>
      <w:r>
        <w:br w:type="page"/>
      </w:r>
    </w:p>
    <w:p>
      <w:pPr>
        <w:pStyle w:val="Heading1"/>
        <w:pBdr>
          <w:bottom w:val="single" w:color="1a5c1a" w:sz="8" w:space="2"/>
        </w:pBdr>
        <w:spacing w:after="160" w:before="360"/>
      </w:pPr>
      <w:r>
        <w:rPr>
          <w:rFonts w:ascii="Calibri" w:cs="Calibri" w:eastAsia="Calibri" w:hAnsi="Calibri"/>
          <w:b/>
          <w:bCs/>
          <w:color w:val="1a5c1a"/>
          <w:sz w:val="38"/>
          <w:szCs w:val="38"/>
        </w:rPr>
        <w:t xml:space="preserve">3. Exploratory Data Analysis (EDA)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7ae60"/>
          <w:sz w:val="28"/>
          <w:szCs w:val="28"/>
        </w:rPr>
        <w:t xml:space="preserve">3.1 Squad Market Value Distribution by Club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The chart below shows total squad market values per club across the three seasons. Galatasaray and Fenerbahce stand out clearly from the rest of the league.</w:t>
      </w:r>
    </w:p>
    <w:p>
      <w:pPr>
        <w:spacing w:after="0" w:before="80"/>
      </w:pPr>
    </w:p>
    <w:p>
      <w:pPr>
        <w:spacing w:after="120" w:before="120"/>
        <w:jc w:val="center"/>
      </w:pPr>
      <w:r>
        <w:drawing>
          <wp:inline distT="0" distB="0" distL="0" distR="0">
            <wp:extent cx="5715000" cy="3524250"/>
            <wp:effectExtent t="0" r="0" b="0" l="0"/>
            <wp:docPr id="1" name="eda-value-dist-1.png" descr="eda-value-dist-1.png" title="eda-value-dist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cs="Calibri" w:eastAsia="Calibri" w:hAnsi="Calibri"/>
          <w:i/>
          <w:iCs/>
          <w:color w:val="7f8c8d"/>
          <w:sz w:val="18"/>
          <w:szCs w:val="18"/>
        </w:rPr>
        <w:t xml:space="preserve">Figure 1 — Turkish Super Lig Squad Market Values by Club (2023-24, 2024-25, 2025-26) | Source: Transfermarkt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7ae60"/>
          <w:sz w:val="28"/>
          <w:szCs w:val="28"/>
        </w:rPr>
        <w:t xml:space="preserve">3.2 Season-Level Value Distribution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The box plot summarises the distribution of squad values within each season. Each dot represents one club.</w:t>
      </w:r>
    </w:p>
    <w:p>
      <w:pPr>
        <w:spacing w:after="0" w:before="80"/>
      </w:pPr>
    </w:p>
    <w:p>
      <w:pPr>
        <w:spacing w:after="12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1" name="eda-boxplot-1.png" descr="eda-boxplot-1.png" title="eda-boxplot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cs="Calibri" w:eastAsia="Calibri" w:hAnsi="Calibri"/>
          <w:i/>
          <w:iCs/>
          <w:color w:val="7f8c8d"/>
          <w:sz w:val="18"/>
          <w:szCs w:val="18"/>
        </w:rPr>
        <w:t xml:space="preserve">Figure 2 — Squad Market Value Distribution by Season (Box Plot)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7ae60"/>
          <w:sz w:val="28"/>
          <w:szCs w:val="28"/>
        </w:rPr>
        <w:t xml:space="preserve">3.3 Points Distribution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Points histograms for each season. Each bar represents a 5-point interval.</w:t>
      </w:r>
    </w:p>
    <w:p>
      <w:pPr>
        <w:spacing w:after="0" w:before="80"/>
      </w:pPr>
    </w:p>
    <w:p>
      <w:pPr>
        <w:spacing w:after="120" w:before="120"/>
        <w:jc w:val="center"/>
      </w:pPr>
      <w:r>
        <w:drawing>
          <wp:inline distT="0" distB="0" distL="0" distR="0">
            <wp:extent cx="5905500" cy="2381250"/>
            <wp:effectExtent t="0" r="0" b="0" l="0"/>
            <wp:docPr id="1" name="eda-points-1.png" descr="eda-points-1.png" title="eda-points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cs="Calibri" w:eastAsia="Calibri" w:hAnsi="Calibri"/>
          <w:i/>
          <w:iCs/>
          <w:color w:val="7f8c8d"/>
          <w:sz w:val="18"/>
          <w:szCs w:val="18"/>
        </w:rPr>
        <w:t xml:space="preserve">Figure 3 — League Points Distribution by Season (Histogram)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7ae60"/>
          <w:sz w:val="28"/>
          <w:szCs w:val="28"/>
        </w:rPr>
        <w:t xml:space="preserve">3.4 Squad Value vs. Points: Correlation Scatter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Each dot represents a club-season pair. Dot size is proportional to squad value. The dashed line is the OLS regression fit.</w:t>
      </w:r>
    </w:p>
    <w:p>
      <w:pPr>
        <w:spacing w:after="0" w:before="80"/>
      </w:pPr>
    </w:p>
    <w:p>
      <w:pPr>
        <w:spacing w:after="120" w:before="120"/>
        <w:jc w:val="center"/>
      </w:pPr>
      <w:r>
        <w:drawing>
          <wp:inline distT="0" distB="0" distL="0" distR="0">
            <wp:extent cx="5905500" cy="4095750"/>
            <wp:effectExtent t="0" r="0" b="0" l="0"/>
            <wp:docPr id="1" name="eda-scatter-1.png" descr="eda-scatter-1.png" title="eda-scatter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cs="Calibri" w:eastAsia="Calibri" w:hAnsi="Calibri"/>
          <w:i/>
          <w:iCs/>
          <w:color w:val="7f8c8d"/>
          <w:sz w:val="18"/>
          <w:szCs w:val="18"/>
        </w:rPr>
        <w:t xml:space="preserve">Figure 4 — Squad Market Value vs. Points Scatter Plot (3 Seasons)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Pearson Correlation Coefficients by Season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7"/>
        <w:gridCol w:w="2257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Season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Clubs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Pearson 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p-value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2023-24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20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c1a"/>
                <w:sz w:val="20"/>
                <w:szCs w:val="20"/>
              </w:rPr>
              <w:t xml:space="preserve">0.891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&lt; 0.001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2024-25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19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c1a"/>
                <w:sz w:val="20"/>
                <w:szCs w:val="20"/>
              </w:rPr>
              <w:t xml:space="preserve">0.803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&lt; 0.001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2025-26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18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c1a"/>
                <w:sz w:val="20"/>
                <w:szCs w:val="20"/>
              </w:rPr>
              <w:t xml:space="preserve">0.872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&lt; 0.001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c1a"/>
                <w:sz w:val="20"/>
                <w:szCs w:val="20"/>
              </w:rPr>
              <w:t xml:space="preserve">All Seasons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c1a"/>
                <w:sz w:val="20"/>
                <w:szCs w:val="20"/>
              </w:rPr>
              <w:t xml:space="preserve">57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c1a"/>
                <w:sz w:val="20"/>
                <w:szCs w:val="20"/>
              </w:rPr>
              <w:t xml:space="preserve">~0.855 (avg.)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c1a"/>
                <w:sz w:val="20"/>
                <w:szCs w:val="20"/>
              </w:rPr>
              <w:t xml:space="preserve">&lt; 0.001</w:t>
            </w:r>
          </w:p>
        </w:tc>
      </w:tr>
    </w:tbl>
    <w:p>
      <w:pPr>
        <w:spacing w:after="0" w:before="120"/>
      </w:pPr>
    </w:p>
    <w:p>
      <w:pPr>
        <w:spacing w:after="8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2"/>
          <w:szCs w:val="22"/>
        </w:rPr>
        <w:t xml:space="preserve">Interpretation: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The average r of 0.855 confirms a very strong budget-performance relationship. However, R² ≈ 0.72 means roughly 28% of points variance is explained by other factors (coaching, luck, fixture difficulty) -- this gap creates the 'efficiency opportunity'.</w:t>
      </w:r>
    </w:p>
    <w:p>
      <w:pPr>
        <w:spacing w:after="0" w:before="200"/>
      </w:pPr>
    </w:p>
    <w:p>
      <w:r>
        <w:br w:type="page"/>
      </w:r>
    </w:p>
    <w:p>
      <w:pPr>
        <w:pStyle w:val="Heading1"/>
        <w:pBdr>
          <w:bottom w:val="single" w:color="1a5c1a" w:sz="8" w:space="2"/>
        </w:pBdr>
        <w:spacing w:after="160" w:before="360"/>
      </w:pPr>
      <w:r>
        <w:rPr>
          <w:rFonts w:ascii="Calibri" w:cs="Calibri" w:eastAsia="Calibri" w:hAnsi="Calibri"/>
          <w:b/>
          <w:bCs/>
          <w:color w:val="1a5c1a"/>
          <w:sz w:val="38"/>
          <w:szCs w:val="38"/>
        </w:rPr>
        <w:t xml:space="preserve">4. Regression Analysis and Efficiency Score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7ae60"/>
          <w:sz w:val="28"/>
          <w:szCs w:val="28"/>
        </w:rPr>
        <w:t xml:space="preserve">4.1 Simple Linear Regression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2"/>
          <w:szCs w:val="22"/>
        </w:rPr>
        <w:t xml:space="preserve">Independent variable: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log(squad_market_value_eur) -- natural log applied to correct right-skew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2c3e50"/>
          <w:sz w:val="22"/>
          <w:szCs w:val="22"/>
        </w:rPr>
        <w:t xml:space="preserve">Dependent variable: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Pts (end-of-season total points)</w:t>
      </w:r>
    </w:p>
    <w:p>
      <w:pPr>
        <w:spacing w:after="0" w:before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Estimate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Std. Error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p-value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(Intercept)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c1a"/>
                <w:sz w:val="20"/>
                <w:szCs w:val="20"/>
              </w:rPr>
              <w:t xml:space="preserve">-274.8523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undefined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undefined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log(squad_market_value_eur)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c1a"/>
                <w:sz w:val="20"/>
                <w:szCs w:val="20"/>
              </w:rPr>
              <w:t xml:space="preserve">18.3444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undefined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undefined</w:t>
            </w:r>
          </w:p>
        </w:tc>
      </w:tr>
    </w:tbl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7"/>
        <w:gridCol w:w="2257"/>
        <w:gridCol w:w="2256"/>
      </w:tblGrid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R-squared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Adj. R-squared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Residual Std. Error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Observations</w:t>
            </w:r>
          </w:p>
        </w:tc>
      </w:tr>
      <w:tr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c1a"/>
                <w:sz w:val="22"/>
                <w:szCs w:val="22"/>
              </w:rPr>
              <w:t xml:space="preserve">0.7175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c1a"/>
                <w:sz w:val="22"/>
                <w:szCs w:val="22"/>
              </w:rPr>
              <w:t xml:space="preserve">0.7124</w:t>
            </w:r>
          </w:p>
        </w:tc>
        <w:tc>
          <w:tcPr>
            <w:tcW w:type="dxa" w:w="225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c1a"/>
                <w:sz w:val="22"/>
                <w:szCs w:val="22"/>
              </w:rPr>
              <w:t xml:space="preserve">9.9451</w:t>
            </w:r>
          </w:p>
        </w:tc>
        <w:tc>
          <w:tcPr>
            <w:tcW w:type="dxa" w:w="22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c1a"/>
                <w:sz w:val="22"/>
                <w:szCs w:val="22"/>
              </w:rPr>
              <w:t xml:space="preserve">57</w:t>
            </w:r>
          </w:p>
        </w:tc>
      </w:tr>
    </w:tbl>
    <w:p>
      <w:pPr>
        <w:spacing w:after="0" w:before="80"/>
      </w:pPr>
    </w:p>
    <w:p>
      <w:pPr>
        <w:spacing w:after="120" w:before="120"/>
        <w:jc w:val="center"/>
      </w:pPr>
      <w:r>
        <w:drawing>
          <wp:inline distT="0" distB="0" distL="0" distR="0">
            <wp:extent cx="5524500" cy="3619500"/>
            <wp:effectExtent t="0" r="0" b="0" l="0"/>
            <wp:docPr id="1" name="regression-plot-1.png" descr="regression-plot-1.png" title="regression-plot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cs="Calibri" w:eastAsia="Calibri" w:hAnsi="Calibri"/>
          <w:i/>
          <w:iCs/>
          <w:color w:val="7f8c8d"/>
          <w:sz w:val="18"/>
          <w:szCs w:val="18"/>
        </w:rPr>
        <w:t xml:space="preserve">Figure 5 -- log(Squad Market Value) vs Points: OLS Regression Fit with +/-1 SE Band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7ae60"/>
          <w:sz w:val="28"/>
          <w:szCs w:val="28"/>
        </w:rPr>
        <w:t xml:space="preserve">4.2 Spending Efficiency Score (OLS Residual)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1a5c1a"/>
          <w:sz w:val="22"/>
          <w:szCs w:val="22"/>
        </w:rPr>
        <w:t xml:space="preserve">Efficiency Score  =  Actual Points  -  Model-Predicted Points (OLS residual)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a5c1a"/>
                <w:sz w:val="22"/>
                <w:szCs w:val="22"/>
              </w:rPr>
              <w:t xml:space="preserve">How to Interpret the Efficiency Score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Positive (+): The club earned MORE points than its squad value implies -- high efficiency.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Negative (-): The club earned FEWER points than its squad value implies -- underperformance.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Large positive: High return on squad investment.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Large negative: High budget, insufficient points return.</w:t>
            </w:r>
          </w:p>
        </w:tc>
      </w:tr>
    </w:tbl>
    <w:p>
      <w:pPr>
        <w:spacing w:after="0" w:before="100"/>
      </w:pPr>
    </w:p>
    <w:p>
      <w:pPr>
        <w:spacing w:after="120" w:before="120"/>
        <w:jc w:val="center"/>
      </w:pPr>
      <w:r>
        <w:drawing>
          <wp:inline distT="0" distB="0" distL="0" distR="0">
            <wp:extent cx="5905500" cy="4191000"/>
            <wp:effectExtent t="0" r="0" b="0" l="0"/>
            <wp:docPr id="1" name="efficiency-plot-1.png" descr="efficiency-plot-1.png" title="efficiency-plot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cs="Calibri" w:eastAsia="Calibri" w:hAnsi="Calibri"/>
          <w:i/>
          <w:iCs/>
          <w:color w:val="7f8c8d"/>
          <w:sz w:val="18"/>
          <w:szCs w:val="18"/>
        </w:rPr>
        <w:t xml:space="preserve">Figure 6 -- Club Spending Efficiency Scores by Season (Positive = over-performs budget expectation)</w:t>
      </w:r>
    </w:p>
    <w:p>
      <w:pPr>
        <w:spacing w:after="0" w:before="120"/>
      </w:pP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c3e50"/>
          <w:sz w:val="24"/>
          <w:szCs w:val="24"/>
        </w:rPr>
        <w:t xml:space="preserve">Most and Least Efficient Club-Season Combinations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500"/>
        <w:gridCol w:w="1200"/>
        <w:gridCol w:w="1300"/>
        <w:gridCol w:w="1400"/>
        <w:gridCol w:w="926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Club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Season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Actual Pts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Predicted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c1a"/>
                <w:sz w:val="20"/>
                <w:szCs w:val="20"/>
              </w:rPr>
              <w:t xml:space="preserve">Most Efficient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Galatasaray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2023-24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102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80.3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c1a"/>
                <w:sz w:val="20"/>
                <w:szCs w:val="20"/>
              </w:rPr>
              <w:t xml:space="preserve">+21.7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c1a"/>
                <w:sz w:val="20"/>
                <w:szCs w:val="20"/>
              </w:rPr>
              <w:t xml:space="preserve">Most Efficient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Fenerbahçe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2023-24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99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77.4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c1a"/>
                <w:sz w:val="20"/>
                <w:szCs w:val="20"/>
              </w:rPr>
              <w:t xml:space="preserve">+21.6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c1a"/>
                <w:sz w:val="20"/>
                <w:szCs w:val="20"/>
              </w:rPr>
              <w:t xml:space="preserve">Most Efficient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Samsunspor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2024-25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64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43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c1a"/>
                <w:sz w:val="20"/>
                <w:szCs w:val="20"/>
              </w:rPr>
              <w:t xml:space="preserve">+21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c1a"/>
                <w:sz w:val="20"/>
                <w:szCs w:val="20"/>
              </w:rPr>
              <w:t xml:space="preserve">Most Efficient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Kasımpaşa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2023-24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56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40.3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c1a"/>
                <w:sz w:val="20"/>
                <w:szCs w:val="20"/>
              </w:rPr>
              <w:t xml:space="preserve">+15.7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c1a"/>
                <w:sz w:val="20"/>
                <w:szCs w:val="20"/>
              </w:rPr>
              <w:t xml:space="preserve">Most Efficient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Sivasspor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2023-24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54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41.2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c1a"/>
                <w:sz w:val="20"/>
                <w:szCs w:val="20"/>
              </w:rPr>
              <w:t xml:space="preserve">+12.8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Least Efficient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Adana Demirspor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2024-25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33.5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-31.5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Least Efficient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Beşiktaş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2025-26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59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74.4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-15.4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Least Efficient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Trabzonspor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2024-25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51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66.1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-15.1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Least Efficient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Beşiktaş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2023-24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56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70.1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-14.1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Least Efficient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Kayserispor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2025-26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27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39.6</w:t>
            </w:r>
          </w:p>
        </w:tc>
        <w:tc>
          <w:tcPr>
            <w:tcW w:type="dxa" w:w="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-12.6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7ae60"/>
          <w:sz w:val="28"/>
          <w:szCs w:val="28"/>
        </w:rPr>
        <w:t xml:space="preserve">4.3 Efficiency Trend Across 3 Seasons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The chart below shows how the efficiency scores of clubs present in all three seasons evolved over time. Each line represents one club.</w:t>
      </w:r>
    </w:p>
    <w:p>
      <w:pPr>
        <w:spacing w:after="0" w:before="80"/>
      </w:pPr>
    </w:p>
    <w:p>
      <w:pPr>
        <w:spacing w:after="120" w:before="120"/>
        <w:jc w:val="center"/>
      </w:pPr>
      <w:r>
        <w:drawing>
          <wp:inline distT="0" distB="0" distL="0" distR="0">
            <wp:extent cx="5905500" cy="3619500"/>
            <wp:effectExtent t="0" r="0" b="0" l="0"/>
            <wp:docPr id="1" name="efficiency-trend-1.png" descr="efficiency-trend-1.png" title="efficiency-trend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cs="Calibri" w:eastAsia="Calibri" w:hAnsi="Calibri"/>
          <w:i/>
          <w:iCs/>
          <w:color w:val="7f8c8d"/>
          <w:sz w:val="18"/>
          <w:szCs w:val="18"/>
        </w:rPr>
        <w:t xml:space="preserve">Figure 7 -- Efficiency Score Trend Across 3 Seasons (clubs present in all three seasons)</w:t>
      </w:r>
    </w:p>
    <w:p>
      <w:pPr>
        <w:spacing w:after="0" w:before="200"/>
      </w:pPr>
    </w:p>
    <w:p>
      <w:r>
        <w:br w:type="page"/>
      </w:r>
    </w:p>
    <w:p>
      <w:pPr>
        <w:pStyle w:val="Heading1"/>
        <w:pBdr>
          <w:bottom w:val="single" w:color="1a5c1a" w:sz="8" w:space="2"/>
        </w:pBdr>
        <w:spacing w:after="160" w:before="360"/>
      </w:pPr>
      <w:r>
        <w:rPr>
          <w:rFonts w:ascii="Calibri" w:cs="Calibri" w:eastAsia="Calibri" w:hAnsi="Calibri"/>
          <w:b/>
          <w:bCs/>
          <w:color w:val="1a5c1a"/>
          <w:sz w:val="38"/>
          <w:szCs w:val="38"/>
        </w:rPr>
        <w:t xml:space="preserve">5. Player Analysis A -- Forward Spending vs. Goals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7ae60"/>
          <w:sz w:val="28"/>
          <w:szCs w:val="28"/>
        </w:rPr>
        <w:t xml:space="preserve">5.1 Methodology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Forward positions included: ST, CF, FW, LW, RW, CAM, 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Player salary estimate = total club wage bill / squad size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January transfer arrivals have their annual wage halved before inclusion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Per club-season: 'Cost per Goal' and 'Goals per Million EUR' metrics computed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f39c12"/>
                <w:sz w:val="22"/>
                <w:szCs w:val="22"/>
              </w:rPr>
              <w:t xml:space="preserve">Critical Finding -- Forward Spending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Correlation between forward wage spending and goals scored: r = -0.12 (NEGATIVE)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Expensive attacking squads do NOT guarantee high goal tallies.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Cost-efficient clubs (Sivasspor, Samsunspor, Eyupspor) consistently rank highest in goals-per-million.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Large-budget clubs show LOWER return on forward investment relative to their spending.</w:t>
            </w:r>
          </w:p>
        </w:tc>
      </w:tr>
    </w:tbl>
    <w:p>
      <w:pPr>
        <w:spacing w:after="0" w:before="100"/>
      </w:pPr>
    </w:p>
    <w:p>
      <w:pPr>
        <w:spacing w:after="120" w:before="120"/>
        <w:jc w:val="center"/>
      </w:pPr>
      <w:r>
        <w:drawing>
          <wp:inline distT="0" distB="0" distL="0" distR="0">
            <wp:extent cx="5905500" cy="3619500"/>
            <wp:effectExtent t="0" r="0" b="0" l="0"/>
            <wp:docPr id="1" name="forward-plot-1.png" descr="forward-plot-1.png" title="forward-plot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cs="Calibri" w:eastAsia="Calibri" w:hAnsi="Calibri"/>
          <w:i/>
          <w:iCs/>
          <w:color w:val="7f8c8d"/>
          <w:sz w:val="18"/>
          <w:szCs w:val="18"/>
        </w:rPr>
        <w:t xml:space="preserve">Figure 8 -- Forward Wage Spending vs. Goals Scored (r = -0.12)</w:t>
      </w:r>
    </w:p>
    <w:p>
      <w:pPr>
        <w:spacing w:after="0" w:before="100"/>
      </w:pPr>
    </w:p>
    <w:p>
      <w:pPr>
        <w:spacing w:after="120" w:before="120"/>
        <w:jc w:val="center"/>
      </w:pPr>
      <w:r>
        <w:drawing>
          <wp:inline distT="0" distB="0" distL="0" distR="0">
            <wp:extent cx="5905500" cy="4191000"/>
            <wp:effectExtent t="0" r="0" b="0" l="0"/>
            <wp:docPr id="1" name="forward-ranking-1.png" descr="forward-ranking-1.png" title="forward-ranking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cs="Calibri" w:eastAsia="Calibri" w:hAnsi="Calibri"/>
          <w:i/>
          <w:iCs/>
          <w:color w:val="7f8c8d"/>
          <w:sz w:val="18"/>
          <w:szCs w:val="18"/>
        </w:rPr>
        <w:t xml:space="preserve">Figure 9 -- Forward Spending Efficiency: Goals per Million EUR in Forward Wages</w:t>
      </w:r>
    </w:p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7ae60"/>
          <w:sz w:val="28"/>
          <w:szCs w:val="28"/>
        </w:rPr>
        <w:t xml:space="preserve">5.2 Top 10 Clubs by Goals-per-Million-EUR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500"/>
        <w:gridCol w:w="1800"/>
        <w:gridCol w:w="1500"/>
        <w:gridCol w:w="16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Club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Season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Fwd. Wage Spend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Goals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Goals / M EUR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Sivasspor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2023-24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EUR 2.17M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39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c1a"/>
                <w:sz w:val="20"/>
                <w:szCs w:val="20"/>
              </w:rPr>
              <w:t xml:space="preserve">17.96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Fatih Karagümrük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2023-24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EUR 2.41M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38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c1a"/>
                <w:sz w:val="20"/>
                <w:szCs w:val="20"/>
              </w:rPr>
              <w:t xml:space="preserve">15.74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Kasımpaşa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2023-24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EUR 2.45M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35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c1a"/>
                <w:sz w:val="20"/>
                <w:szCs w:val="20"/>
              </w:rPr>
              <w:t xml:space="preserve">14.27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Antalyaspor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2023-24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EUR 2.26M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32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c1a"/>
                <w:sz w:val="20"/>
                <w:szCs w:val="20"/>
              </w:rPr>
              <w:t xml:space="preserve">14.16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Kayserispor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2023-24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EUR 2.20M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31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c1a"/>
                <w:sz w:val="20"/>
                <w:szCs w:val="20"/>
              </w:rPr>
              <w:t xml:space="preserve">14.09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İstanbulspor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2023-24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EUR 1.15M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16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c1a"/>
                <w:sz w:val="20"/>
                <w:szCs w:val="20"/>
              </w:rPr>
              <w:t xml:space="preserve">13.89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Alanyaspor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2023-24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EUR 2.46M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33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c1a"/>
                <w:sz w:val="20"/>
                <w:szCs w:val="20"/>
              </w:rPr>
              <w:t xml:space="preserve">13.41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Pendikspor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2023-24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EUR 2.34M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31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c1a"/>
                <w:sz w:val="20"/>
                <w:szCs w:val="20"/>
              </w:rPr>
              <w:t xml:space="preserve">13.26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Çaykur Rizespor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2023-24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EUR 2.50M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32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c1a"/>
                <w:sz w:val="20"/>
                <w:szCs w:val="20"/>
              </w:rPr>
              <w:t xml:space="preserve">12.78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Ankaragücü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2023-24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EUR 2.61M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33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c1a"/>
                <w:sz w:val="20"/>
                <w:szCs w:val="20"/>
              </w:rPr>
              <w:t xml:space="preserve">12.65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pBdr>
          <w:bottom w:val="single" w:color="1a5c1a" w:sz="8" w:space="2"/>
        </w:pBdr>
        <w:spacing w:after="160" w:before="360"/>
      </w:pPr>
      <w:r>
        <w:rPr>
          <w:rFonts w:ascii="Calibri" w:cs="Calibri" w:eastAsia="Calibri" w:hAnsi="Calibri"/>
          <w:b/>
          <w:bCs/>
          <w:color w:val="1a5c1a"/>
          <w:sz w:val="38"/>
          <w:szCs w:val="38"/>
        </w:rPr>
        <w:t xml:space="preserve">6. Player Analysis B -- Mid-Season Within-League Transfers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7ae60"/>
          <w:sz w:val="28"/>
          <w:szCs w:val="28"/>
        </w:rPr>
        <w:t xml:space="preserve">6.1 Methodology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Players recorded under two different clubs within the same season are flagged as within-league mid-season transfer candidates. Foreign-league imports (appearing under only one Super Lig club) are excluded. The G+A/90 (Goals + Assists per 90 minutes) metric captures post-transfer contribution.</w:t>
      </w:r>
    </w:p>
    <w:p>
      <w:pPr>
        <w:spacing w:after="0" w:before="80"/>
      </w:pPr>
    </w:p>
    <w:p>
      <w:pPr>
        <w:spacing w:after="120" w:before="120"/>
        <w:jc w:val="center"/>
      </w:pPr>
      <w:r>
        <w:drawing>
          <wp:inline distT="0" distB="0" distL="0" distR="0">
            <wp:extent cx="5905500" cy="3619500"/>
            <wp:effectExtent t="0" r="0" b="0" l="0"/>
            <wp:docPr id="1" name="transfer-plot-1.png" descr="transfer-plot-1.png" title="transfer-plot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cs="Calibri" w:eastAsia="Calibri" w:hAnsi="Calibri"/>
          <w:i/>
          <w:iCs/>
          <w:color w:val="7f8c8d"/>
          <w:sz w:val="18"/>
          <w:szCs w:val="18"/>
        </w:rPr>
        <w:t xml:space="preserve">Figure 10 -- Receiving Clubs: Average G+A/90 of Incoming Within-League Transfers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a5c1a"/>
                <w:sz w:val="22"/>
                <w:szCs w:val="22"/>
              </w:rPr>
              <w:t xml:space="preserve">Key Observations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Clubs receiving mid-season transfers show markedly different outcomes in terms of incoming player performance.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Some clubs effectively reinforced their squads through winter window acquisitions.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Average G+A/90 of transferred players appears independent of club budget.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pBdr>
          <w:bottom w:val="single" w:color="1a5c1a" w:sz="8" w:space="2"/>
        </w:pBdr>
        <w:spacing w:after="160" w:before="360"/>
      </w:pPr>
      <w:r>
        <w:rPr>
          <w:rFonts w:ascii="Calibri" w:cs="Calibri" w:eastAsia="Calibri" w:hAnsi="Calibri"/>
          <w:b/>
          <w:bCs/>
          <w:color w:val="1a5c1a"/>
          <w:sz w:val="38"/>
          <w:szCs w:val="38"/>
        </w:rPr>
        <w:t xml:space="preserve">7. Player Analysis C -- Best XI by G+A / EUR Million (4-2-3-1)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7ae60"/>
          <w:sz w:val="28"/>
          <w:szCs w:val="28"/>
        </w:rPr>
        <w:t xml:space="preserve">7.1 Selection Criteria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Criterion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Formation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4-2-3-1: 1 GK - 2 CB - 1 LB - 1 RB - 2 CDM - 1 CAM - 1 LW - 1 RW - 1 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Goalkeeper (GK)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Highest save percentage (min. 900 minutes, FBref verified data)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Outfield Players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Highest G+A (Goals + Assists) per EUR million player cost, single season only, min. 900 min, min. 1 G+A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Player Cost Proxy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Team's average player market value for that specific season (Transfermarkt)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Wage Estimate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Annual wage = market value x 28% (typical European league ratio)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Per-Season Evaluation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Each (player x season) pair is evaluated independently -- no cross-season aggregation</w:t>
            </w:r>
          </w:p>
        </w:tc>
      </w:tr>
    </w:tbl>
    <w:p>
      <w:pPr>
        <w:spacing w:after="0" w:before="12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7ae60"/>
          <w:sz w:val="28"/>
          <w:szCs w:val="28"/>
        </w:rPr>
        <w:t xml:space="preserve">7.2 Best XI Player Table (Real Transfermarkt Data)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1700"/>
        <w:gridCol w:w="1000"/>
        <w:gridCol w:w="2200"/>
        <w:gridCol w:w="11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Player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Club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Season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Stats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G+A/M EUR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c1a"/>
                <w:sz w:val="20"/>
                <w:szCs w:val="20"/>
              </w:rPr>
              <w:t xml:space="preserve">GK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Dominik Livaković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Fenerbahçe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2023-24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Save %: 74.1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c1a"/>
                <w:sz w:val="19"/>
                <w:szCs w:val="19"/>
              </w:rPr>
              <w:t xml:space="preserve">--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c1a"/>
                <w:sz w:val="20"/>
                <w:szCs w:val="20"/>
              </w:rPr>
              <w:t xml:space="preserve">CB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Uros Radakovic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Sivasspor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2024-25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4G  0A  (4 G+A)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c1a"/>
                <w:sz w:val="19"/>
                <w:szCs w:val="19"/>
              </w:rPr>
              <w:t xml:space="preserve">10.47 G+A/M EUR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c1a"/>
                <w:sz w:val="20"/>
                <w:szCs w:val="20"/>
              </w:rPr>
              <w:t xml:space="preserve">CB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Adil Demirbağ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Konyaspor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2024-25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2G  3A  (5 G+A)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c1a"/>
                <w:sz w:val="19"/>
                <w:szCs w:val="19"/>
              </w:rPr>
              <w:t xml:space="preserve">9.33 G+A/M EUR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c1a"/>
                <w:sz w:val="20"/>
                <w:szCs w:val="20"/>
              </w:rPr>
              <w:t xml:space="preserve">LB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Guilherme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Konyaspor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2023-24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5G  7A  (12 G+A)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c1a"/>
                <w:sz w:val="19"/>
                <w:szCs w:val="19"/>
              </w:rPr>
              <w:t xml:space="preserve">15.62 G+A/M EUR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c1a"/>
                <w:sz w:val="20"/>
                <w:szCs w:val="20"/>
              </w:rPr>
              <w:t xml:space="preserve">RB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Deian Sorescu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Gaziantep FK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2024-25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5G  7A  (12 G+A)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c1a"/>
                <w:sz w:val="19"/>
                <w:szCs w:val="19"/>
              </w:rPr>
              <w:t xml:space="preserve">21.43 G+A/M EUR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c1a"/>
                <w:sz w:val="20"/>
                <w:szCs w:val="20"/>
              </w:rPr>
              <w:t xml:space="preserve">CDM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Aytaç Kara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Kasımpaşa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2023-24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14G  4A  (18 G+A)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c1a"/>
                <w:sz w:val="19"/>
                <w:szCs w:val="19"/>
              </w:rPr>
              <w:t xml:space="preserve">26.71 G+A/M EUR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c1a"/>
                <w:sz w:val="20"/>
                <w:szCs w:val="20"/>
              </w:rPr>
              <w:t xml:space="preserve">CDM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Görkem Sağlam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Hatayspor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2024-25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4G  9A  (13 G+A)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c1a"/>
                <w:sz w:val="19"/>
                <w:szCs w:val="19"/>
              </w:rPr>
              <w:t xml:space="preserve">24.95 G+A/M EUR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c1a"/>
                <w:sz w:val="20"/>
                <w:szCs w:val="20"/>
              </w:rPr>
              <w:t xml:space="preserve">CAM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Haris Hajradinovic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Kasımpaşa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2023-24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5G  16A  (21 G+A)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c1a"/>
                <w:sz w:val="19"/>
                <w:szCs w:val="19"/>
              </w:rPr>
              <w:t xml:space="preserve">31.16 G+A/M EUR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c1a"/>
                <w:sz w:val="20"/>
                <w:szCs w:val="20"/>
              </w:rPr>
              <w:t xml:space="preserve">LW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Miguel Cardoso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Kayserispor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2024-25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8G  9A  (17 G+A)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c1a"/>
                <w:sz w:val="19"/>
                <w:szCs w:val="19"/>
              </w:rPr>
              <w:t xml:space="preserve">31.14 G+A/M EUR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c1a"/>
                <w:sz w:val="20"/>
                <w:szCs w:val="20"/>
              </w:rPr>
              <w:t xml:space="preserve">RW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Bilal Boutobba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Hatayspor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2024-25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11G  3A  (14 G+A)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d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c1a"/>
                <w:sz w:val="19"/>
                <w:szCs w:val="19"/>
              </w:rPr>
              <w:t xml:space="preserve">26.87 G+A/M EUR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c1a"/>
                <w:sz w:val="20"/>
                <w:szCs w:val="20"/>
              </w:rPr>
              <w:t xml:space="preserve">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Rey Manaj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Sivasspor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2024-25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12G  5A  (17 G+A)</w:t>
            </w:r>
          </w:p>
        </w:tc>
        <w:tc>
          <w:tcPr>
            <w:tcW w:type="dxa" w:w="1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c1a"/>
                <w:sz w:val="19"/>
                <w:szCs w:val="19"/>
              </w:rPr>
              <w:t xml:space="preserve">44.5 G+A/M EUR</w:t>
            </w:r>
          </w:p>
        </w:tc>
      </w:tr>
    </w:tbl>
    <w:p>
      <w:pPr>
        <w:spacing w:after="0" w:before="120"/>
      </w:pPr>
    </w:p>
    <w:p>
      <w:pPr>
        <w:spacing w:after="120" w:before="120"/>
        <w:jc w:val="center"/>
      </w:pPr>
      <w:r>
        <w:drawing>
          <wp:inline distT="0" distB="0" distL="0" distR="0">
            <wp:extent cx="4762500" cy="5905500"/>
            <wp:effectExtent t="0" r="0" b="0" l="0"/>
            <wp:docPr id="1" name="best-xi-pitch-1.png" descr="best-xi-pitch-1.png" title="best-xi-pitch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90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cs="Calibri" w:eastAsia="Calibri" w:hAnsi="Calibri"/>
          <w:i/>
          <w:iCs/>
          <w:color w:val="7f8c8d"/>
          <w:sz w:val="18"/>
          <w:szCs w:val="18"/>
        </w:rPr>
        <w:t xml:space="preserve">Figure 11 -- Best XI Pitch Diagram (4-2-3-1) | Selected by G+A per EUR million | GK by Save%</w:t>
      </w:r>
    </w:p>
    <w:p>
      <w:pPr>
        <w:spacing w:after="0" w:before="12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80" w:before="0"/>
            </w:pPr>
            <w:r>
              <w:rPr>
                <w:rFonts w:ascii="Calibri" w:cs="Calibri" w:eastAsia="Calibri" w:hAnsi="Calibri"/>
                <w:b/>
                <w:bCs/>
                <w:color w:val="1a5c1a"/>
                <w:sz w:val="22"/>
                <w:szCs w:val="22"/>
              </w:rPr>
              <w:t xml:space="preserve">The Cost-Efficiency Paradox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The entire Best XI is drawn from mid-table clubs: Sivasspor, Kasimpasa, Konyaspor, Hatayspor, Kayserispor, Gaziantep FK.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This reflects a methodological reality: lower squad value = lower cost denominator = higher G+A/M EUR ratio.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Star players (Icardi, Osimhen) produce outstanding raw numbers but underperform on a cost-adjusted basis.</w:t>
            </w:r>
          </w:p>
          <w:p>
            <w:pPr>
              <w:spacing w:after="40" w:before="0"/>
            </w:pPr>
            <w:r>
              <w:rPr>
                <w:rFonts w:ascii="Calibri" w:cs="Calibri" w:eastAsia="Calibri" w:hAnsi="Calibri"/>
                <w:color w:val="2c3e50"/>
                <w:sz w:val="20"/>
                <w:szCs w:val="20"/>
              </w:rPr>
              <w:t xml:space="preserve">Conclusion: 'Most expensive player = best investment' does not hold in Turkish football.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pBdr>
          <w:bottom w:val="single" w:color="1a5c1a" w:sz="8" w:space="2"/>
        </w:pBdr>
        <w:spacing w:after="160" w:before="360"/>
      </w:pPr>
      <w:r>
        <w:rPr>
          <w:rFonts w:ascii="Calibri" w:cs="Calibri" w:eastAsia="Calibri" w:hAnsi="Calibri"/>
          <w:b/>
          <w:bCs/>
          <w:color w:val="1a5c1a"/>
          <w:sz w:val="38"/>
          <w:szCs w:val="38"/>
        </w:rPr>
        <w:t xml:space="preserve">8. Overall Club Performance Summary (3 Seasons)</w:t>
      </w:r>
    </w:p>
    <w:p>
      <w:pPr>
        <w:spacing w:after="8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The table below summarises each club's average squad value, points, and efficiency score across all seasons they participated in the Super Lig. Sorted by average efficiency score (descending).</w:t>
      </w:r>
    </w:p>
    <w:p>
      <w:pPr>
        <w:spacing w:after="0"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000"/>
        <w:gridCol w:w="1800"/>
        <w:gridCol w:w="1800"/>
        <w:gridCol w:w="18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Club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Seasons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Avg Squad Value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Avg Points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Avg Efficiency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Sivasspor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EUR 23.8M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44.5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c1a"/>
                <w:sz w:val="20"/>
                <w:szCs w:val="20"/>
              </w:rPr>
              <w:t xml:space="preserve">+8.5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Galatasaray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EUR 305.9M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90.3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c1a"/>
                <w:sz w:val="20"/>
                <w:szCs w:val="20"/>
              </w:rPr>
              <w:t xml:space="preserve">+6.9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Samsunspor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EUR 40.2M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51.7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c1a"/>
                <w:sz w:val="20"/>
                <w:szCs w:val="20"/>
              </w:rPr>
              <w:t xml:space="preserve">+5.7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Eyüpspor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EUR 24.6M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41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5c1a"/>
                <w:sz w:val="20"/>
                <w:szCs w:val="20"/>
              </w:rPr>
              <w:t xml:space="preserve">+5.6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Fenerbahçe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EUR 245.3M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84.3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7ae60"/>
                <w:sz w:val="20"/>
                <w:szCs w:val="20"/>
              </w:rPr>
              <w:t xml:space="preserve">+4.87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Gaziantep FK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EUR 26M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42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7ae60"/>
                <w:sz w:val="20"/>
                <w:szCs w:val="20"/>
              </w:rPr>
              <w:t xml:space="preserve">+3.73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Kasımpaşa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EUR 30.7M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45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7ae60"/>
                <w:sz w:val="20"/>
                <w:szCs w:val="20"/>
              </w:rPr>
              <w:t xml:space="preserve">+3.73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Antalyaspor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EUR 25.3M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40.7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7ae60"/>
                <w:sz w:val="20"/>
                <w:szCs w:val="20"/>
              </w:rPr>
              <w:t xml:space="preserve">+3.03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Bodrum FK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EUR 20.5M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37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7ae60"/>
                <w:sz w:val="20"/>
                <w:szCs w:val="20"/>
              </w:rPr>
              <w:t xml:space="preserve">+3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Alanyaspor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EUR 30M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43.7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7ae60"/>
                <w:sz w:val="20"/>
                <w:szCs w:val="20"/>
              </w:rPr>
              <w:t xml:space="preserve">+2.77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Konyaspor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EUR 31.2M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42.3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7ae60"/>
                <w:sz w:val="20"/>
                <w:szCs w:val="20"/>
              </w:rPr>
              <w:t xml:space="preserve">+1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Çaykur Rizespor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EUR 38.3M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46.3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7ae60"/>
                <w:sz w:val="20"/>
                <w:szCs w:val="20"/>
              </w:rPr>
              <w:t xml:space="preserve">+0.9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Başakşehir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EUR 63.8M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55.3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7ae60"/>
                <w:sz w:val="20"/>
                <w:szCs w:val="20"/>
              </w:rPr>
              <w:t xml:space="preserve">+0.63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Pendikspor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EUR 23.4M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37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7ae60"/>
                <w:sz w:val="20"/>
                <w:szCs w:val="20"/>
              </w:rPr>
              <w:t xml:space="preserve">+0.6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Kocaelispor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EUR 25.5M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37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39c12"/>
                <w:sz w:val="20"/>
                <w:szCs w:val="20"/>
              </w:rPr>
              <w:t xml:space="preserve">-1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Göztepe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EUR 55.4M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51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39c12"/>
                <w:sz w:val="20"/>
                <w:szCs w:val="20"/>
              </w:rPr>
              <w:t xml:space="preserve">-1.2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Kayserispor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EUR 28.1M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38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39c12"/>
                <w:sz w:val="20"/>
                <w:szCs w:val="20"/>
              </w:rPr>
              <w:t xml:space="preserve">-1.5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Hatayspor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EUR 23.3M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33.5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39c12"/>
                <w:sz w:val="20"/>
                <w:szCs w:val="20"/>
              </w:rPr>
              <w:t xml:space="preserve">-2.3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Ankaragücü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EUR 33.4M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40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39c12"/>
                <w:sz w:val="20"/>
                <w:szCs w:val="20"/>
              </w:rPr>
              <w:t xml:space="preserve">-2.9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Fatih Karagümrük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EUR 23.6M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32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39c12"/>
                <w:sz w:val="20"/>
                <w:szCs w:val="20"/>
              </w:rPr>
              <w:t xml:space="preserve">-3.25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Trabzonspor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EUR 116.9M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61.3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39c12"/>
                <w:sz w:val="20"/>
                <w:szCs w:val="20"/>
              </w:rPr>
              <w:t xml:space="preserve">-4.6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İstanbulspor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EUR 12.9M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16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74c3c"/>
                <w:sz w:val="20"/>
                <w:szCs w:val="20"/>
              </w:rPr>
              <w:t xml:space="preserve">-9.5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Genclerbirliği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EUR 27.2M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28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74c3c"/>
                <w:sz w:val="20"/>
                <w:szCs w:val="20"/>
              </w:rPr>
              <w:t xml:space="preserve">-11.2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Beşiktaş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EUR 156.5M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59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74c3c"/>
                <w:sz w:val="20"/>
                <w:szCs w:val="20"/>
              </w:rPr>
              <w:t xml:space="preserve">-12.13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Adana Demirspor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EUR 36.6M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c3e50"/>
                <w:sz w:val="20"/>
                <w:szCs w:val="20"/>
              </w:rPr>
              <w:t xml:space="preserve">23</w:t>
            </w:r>
          </w:p>
        </w:tc>
        <w:tc>
          <w:tcPr>
            <w:tcW w:type="dxa" w:w="1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e74c3c"/>
                <w:sz w:val="20"/>
                <w:szCs w:val="20"/>
              </w:rPr>
              <w:t xml:space="preserve">-19.5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pBdr>
          <w:bottom w:val="single" w:color="1a5c1a" w:sz="8" w:space="2"/>
        </w:pBdr>
        <w:spacing w:after="160" w:before="360"/>
      </w:pPr>
      <w:r>
        <w:rPr>
          <w:rFonts w:ascii="Calibri" w:cs="Calibri" w:eastAsia="Calibri" w:hAnsi="Calibri"/>
          <w:b/>
          <w:bCs/>
          <w:color w:val="1a5c1a"/>
          <w:sz w:val="38"/>
          <w:szCs w:val="38"/>
        </w:rPr>
        <w:t xml:space="preserve">9. Conclusions and Future Work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7ae60"/>
          <w:sz w:val="28"/>
          <w:szCs w:val="28"/>
        </w:rPr>
        <w:t xml:space="preserve">9.1 Summary of Findings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"/>
        <w:gridCol w:w="8686"/>
      </w:tblGrid>
      <w:tr>
        <w:tc>
          <w:tcPr>
            <w:tcW w:type="dxa" w:w="340"/>
            <w:tcBorders>
              <w:top w:val="none"/>
              <w:left w:val="none"/>
              <w:bottom w:val="none"/>
              <w:right w:val="none"/>
            </w:tcBorders>
            <w:shd w:fill="1a5c1a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686"/>
            <w:tcBorders>
              <w:top w:val="none"/>
              <w:left w:val="none"/>
              <w:bottom w:val="none"/>
              <w:right w:val="none"/>
            </w:tcBorders>
            <w:shd w:fill="d5f5e3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2"/>
                <w:szCs w:val="22"/>
              </w:rPr>
              <w:t xml:space="preserve">1 -- Budget-performance link is strong but imperfect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7f8c8d"/>
                <w:sz w:val="20"/>
                <w:szCs w:val="20"/>
              </w:rPr>
              <w:t xml:space="preserve">Average Pearson r = 0.855 confirms money matters. R^2 = 0.72 leaves 28% explained by other factors.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"/>
        <w:gridCol w:w="8686"/>
      </w:tblGrid>
      <w:tr>
        <w:tc>
          <w:tcPr>
            <w:tcW w:type="dxa" w:w="340"/>
            <w:tcBorders>
              <w:top w:val="none"/>
              <w:left w:val="none"/>
              <w:bottom w:val="none"/>
              <w:right w:val="none"/>
            </w:tcBorders>
            <w:shd w:fill="27ae60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686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2"/>
                <w:szCs w:val="22"/>
              </w:rPr>
              <w:t xml:space="preserve">2 -- Galatasaray is the most efficient large-budget club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7f8c8d"/>
                <w:sz w:val="20"/>
                <w:szCs w:val="20"/>
              </w:rPr>
              <w:t xml:space="preserve">Average efficiency score +6.9 across three seasons. Consistently earns more points than the model predicts despite a high budget.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"/>
        <w:gridCol w:w="8686"/>
      </w:tblGrid>
      <w:tr>
        <w:tc>
          <w:tcPr>
            <w:tcW w:type="dxa" w:w="340"/>
            <w:tcBorders>
              <w:top w:val="none"/>
              <w:left w:val="none"/>
              <w:bottom w:val="none"/>
              <w:right w:val="none"/>
            </w:tcBorders>
            <w:shd w:fill="1a5c1a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686"/>
            <w:tcBorders>
              <w:top w:val="none"/>
              <w:left w:val="none"/>
              <w:bottom w:val="none"/>
              <w:right w:val="none"/>
            </w:tcBorders>
            <w:shd w:fill="d5f5e3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2"/>
                <w:szCs w:val="22"/>
              </w:rPr>
              <w:t xml:space="preserve">3 -- Mid-table clubs extract better value from their budgets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7f8c8d"/>
                <w:sz w:val="20"/>
                <w:szCs w:val="20"/>
              </w:rPr>
              <w:t xml:space="preserve">Sivasspor (+8.5), Samsunspor (+5.7), Eyupspor (+5.6) -- very low squad values yet systematically over-perform the regression model.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"/>
        <w:gridCol w:w="8686"/>
      </w:tblGrid>
      <w:tr>
        <w:tc>
          <w:tcPr>
            <w:tcW w:type="dxa" w:w="340"/>
            <w:tcBorders>
              <w:top w:val="none"/>
              <w:left w:val="none"/>
              <w:bottom w:val="none"/>
              <w:right w:val="none"/>
            </w:tcBorders>
            <w:shd w:fill="27ae60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686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2"/>
                <w:szCs w:val="22"/>
              </w:rPr>
              <w:t xml:space="preserve">4 -- Forward spending shows a NEGATIVE correlation with goals (r = -0.12)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7f8c8d"/>
                <w:sz w:val="20"/>
                <w:szCs w:val="20"/>
              </w:rPr>
              <w:t xml:space="preserve">Spending more on forwards does not translate to more goals. Mid-table clubs achieve comparable or better goal tallies with far smaller forward wage bills.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"/>
        <w:gridCol w:w="8686"/>
      </w:tblGrid>
      <w:tr>
        <w:tc>
          <w:tcPr>
            <w:tcW w:type="dxa" w:w="340"/>
            <w:tcBorders>
              <w:top w:val="none"/>
              <w:left w:val="none"/>
              <w:bottom w:val="none"/>
              <w:right w:val="none"/>
            </w:tcBorders>
            <w:shd w:fill="1a5c1a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686"/>
            <w:tcBorders>
              <w:top w:val="none"/>
              <w:left w:val="none"/>
              <w:bottom w:val="none"/>
              <w:right w:val="none"/>
            </w:tcBorders>
            <w:shd w:fill="d5f5e3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40" w:before="0"/>
            </w:pPr>
            <w:r>
              <w:rPr>
                <w:rFonts w:ascii="Calibri" w:cs="Calibri" w:eastAsia="Calibri" w:hAnsi="Calibri"/>
                <w:b/>
                <w:bCs/>
                <w:color w:val="2c3e50"/>
                <w:sz w:val="22"/>
                <w:szCs w:val="22"/>
              </w:rPr>
              <w:t xml:space="preserve">5 -- The G+A/EUR million Best XI exposes the star-player myth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7f8c8d"/>
                <w:sz w:val="20"/>
                <w:szCs w:val="20"/>
              </w:rPr>
              <w:t xml:space="preserve">Every player selected is from a mid-table club. High-value squads' stars produce big raw numbers but poor cost-adjusted returns.</w:t>
            </w:r>
          </w:p>
        </w:tc>
      </w:tr>
    </w:tbl>
    <w:p>
      <w:pPr>
        <w:spacing w:after="0" w:before="16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7ae60"/>
          <w:sz w:val="28"/>
          <w:szCs w:val="28"/>
        </w:rPr>
        <w:t xml:space="preserve">9.2 Limitations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2025-26 season may be incomplete as of May 2026 -- final match-weeks could still be missing, causing artificially low points and player statistics for this season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Capology.com provides club-level total wage bills only; individual player salary breakdowns are not always publicly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Individual player market values are approximated by their team's season average (proxy), not scraped per-player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Unobserved factors (coaching changes, fixture difficulty, injuries) are not controlled for</w:t>
      </w:r>
    </w:p>
    <w:p>
      <w:pPr>
        <w:spacing w:after="0" w:before="80"/>
      </w:pP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27ae60"/>
          <w:sz w:val="28"/>
          <w:szCs w:val="28"/>
        </w:rPr>
        <w:t xml:space="preserve">9.3 Future 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Multi-variable regression: add coaching tenure, fixture strength index, home/away split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Age-performance interaction: do younger squads over-perform older high-value squads?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Tactical indicators: pressing intensity, possession percentage, expected goals (xG)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Individual player market value scraping (Transfermarkt squad pages) for more precise cost proxies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c3e50"/>
          <w:sz w:val="22"/>
          <w:szCs w:val="22"/>
        </w:rPr>
        <w:t xml:space="preserve">Extending the analysis to other mid-sized European leagues (Greek Super League, Belgian Pro League)</w:t>
      </w:r>
    </w:p>
    <w:p>
      <w:pPr>
        <w:spacing w:after="0" w:before="200"/>
      </w:pPr>
    </w:p>
    <w:p>
      <w:pPr>
        <w:pBdr>
          <w:bottom w:val="single" w:color="27ae60" w:sz="6" w:space="1"/>
        </w:pBdr>
        <w:spacing w:after="160" w:before="160"/>
      </w:pPr>
    </w:p>
    <w:p>
      <w:pPr>
        <w:spacing w:after="80" w:before="16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7f8c8d"/>
          <w:sz w:val="18"/>
          <w:szCs w:val="18"/>
        </w:rPr>
        <w:t xml:space="preserve">SmartSpend  |  EMU430 Data Analytics  |  Hacettepe University  |  May 2026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7f8c8d"/>
          <w:sz w:val="18"/>
          <w:szCs w:val="18"/>
        </w:rPr>
        <w:t xml:space="preserve">Data Sources: Transfermarkt (direct HTTP scraping, R / httr + rvest)  -  FBref  -  Capology.com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olor w:val="27ae60"/>
          <w:sz w:val="18"/>
          <w:szCs w:val="18"/>
        </w:rPr>
        <w:t xml:space="preserve">GitHub: emu-hacettepe-analytics/emu430-fall2024-team-smartspend</w:t>
      </w:r>
    </w:p>
    <w:sectPr>
      <w:headerReference w:type="default" r:id="rId7"/>
      <w:footerReference w:type="default" r:id="rId8"/>
      <w:pgSz w:w="11906" w:h="16838" w:orient="portrait"/>
      <w:pgMar w:top="1134" w:right="1020" w:bottom="1134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7ae60" w:sz="4" w:space="1"/>
      </w:pBdr>
      <w:tabs>
        <w:tab w:val="right" w:pos="8866"/>
      </w:tabs>
      <w:spacing w:before="100"/>
    </w:pPr>
    <w:r>
      <w:rPr>
        <w:rFonts w:ascii="Calibri" w:cs="Calibri" w:eastAsia="Calibri" w:hAnsi="Calibri"/>
        <w:b w:val="false"/>
        <w:bCs w:val="false"/>
        <w:i w:val="false"/>
        <w:iCs w:val="false"/>
        <w:color w:val="7f8c8d"/>
        <w:sz w:val="18"/>
        <w:szCs w:val="18"/>
      </w:rPr>
      <w:t xml:space="preserve">Saltuk Bugrahan Tasdemir  &amp;  Kerem Berkalp Cerekci</w:t>
    </w:r>
    <w:r>
      <w:rPr>
        <w:rFonts w:ascii="Calibri" w:cs="Calibri" w:eastAsia="Calibri" w:hAnsi="Calibri"/>
      </w:rPr>
      <w:t xml:space="preserve">	</w:t>
    </w:r>
    <w:r>
      <w:rPr>
        <w:rFonts w:ascii="Calibri" w:cs="Calibri" w:eastAsia="Calibri" w:hAnsi="Calibri"/>
        <w:b w:val="false"/>
        <w:bCs w:val="false"/>
        <w:i w:val="false"/>
        <w:iCs w:val="false"/>
        <w:color w:val="7f8c8d"/>
        <w:sz w:val="18"/>
        <w:szCs w:val="18"/>
      </w:rPr>
      <w:t xml:space="preserve">Page </w:t>
    </w:r>
    <w:r>
      <w:rPr>
        <w:rFonts w:ascii="Calibri" w:cs="Calibri" w:eastAsia="Calibri" w:hAnsi="Calibri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b w:val="false"/>
        <w:bCs w:val="false"/>
        <w:i w:val="false"/>
        <w:iCs w:val="false"/>
        <w:color w:val="7f8c8d"/>
        <w:sz w:val="18"/>
        <w:szCs w:val="18"/>
      </w:rPr>
      <w:t xml:space="preserve"> of </w:t>
    </w:r>
    <w:r>
      <w:rPr>
        <w:rFonts w:ascii="Calibri" w:cs="Calibri" w:eastAsia="Calibri" w:hAnsi="Calibri"/>
        <w:color w:val="7f8c8d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7ae60" w:sz="4" w:space="1"/>
      </w:pBdr>
      <w:tabs>
        <w:tab w:val="right" w:pos="8866"/>
      </w:tabs>
      <w:spacing w:after="100"/>
    </w:pPr>
    <w:r>
      <w:rPr>
        <w:rFonts w:ascii="Calibri" w:cs="Calibri" w:eastAsia="Calibri" w:hAnsi="Calibri"/>
        <w:b w:val="false"/>
        <w:bCs w:val="false"/>
        <w:i w:val="false"/>
        <w:iCs w:val="false"/>
        <w:color w:val="7f8c8d"/>
        <w:sz w:val="18"/>
        <w:szCs w:val="18"/>
      </w:rPr>
      <w:t xml:space="preserve">SmartSpend  |  Spending Efficiency in the Turkish Super Lig  |  EMU430  |  Hacettepe University</w:t>
    </w:r>
    <w:r>
      <w:rPr>
        <w:rFonts w:ascii="Calibri" w:cs="Calibri" w:eastAsia="Calibri" w:hAnsi="Calibri"/>
      </w:rPr>
      <w:t xml:space="preserve">	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c3e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a5c1a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27ae6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2c3e5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0461b7665d7cbefb88255b504eefb3db560e717.png"/><Relationship Id="rId10" Type="http://schemas.openxmlformats.org/officeDocument/2006/relationships/image" Target="media/013dd110b8735de9dd497e9500178034bead7909.png"/><Relationship Id="rId11" Type="http://schemas.openxmlformats.org/officeDocument/2006/relationships/image" Target="media/f3b7bab7f9dee811e332da1ef8b29d029d18c661.png"/><Relationship Id="rId12" Type="http://schemas.openxmlformats.org/officeDocument/2006/relationships/image" Target="media/d451629d786e5b9c01d43ceef90900e65fa5cfd5.png"/><Relationship Id="rId13" Type="http://schemas.openxmlformats.org/officeDocument/2006/relationships/image" Target="media/e2703fe01e81f4d9163aaeaf8ccf83d57627e700.png"/><Relationship Id="rId14" Type="http://schemas.openxmlformats.org/officeDocument/2006/relationships/image" Target="media/945df4a5d76ec6dc053b324f72d84bf72d68cdc6.png"/><Relationship Id="rId15" Type="http://schemas.openxmlformats.org/officeDocument/2006/relationships/image" Target="media/e67bc4500665e9d6671db3eafc03081bc3ee8d30.png"/><Relationship Id="rId16" Type="http://schemas.openxmlformats.org/officeDocument/2006/relationships/image" Target="media/842a6557ee329082f420f7595b4027fb169265bc.png"/><Relationship Id="rId17" Type="http://schemas.openxmlformats.org/officeDocument/2006/relationships/image" Target="media/87083b3a6f6585887272e631810d6719d03d1a24.png"/><Relationship Id="rId18" Type="http://schemas.openxmlformats.org/officeDocument/2006/relationships/image" Target="media/65d370e4ce7027163cda40e0d50bfad771b34fc1.png"/><Relationship Id="rId19" Type="http://schemas.openxmlformats.org/officeDocument/2006/relationships/image" Target="media/a129f113a7546613863b8c1c813a08cfb44e9e66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2026-05-07T23:18:27.219Z</dcterms:created>
  <dcterms:modified xsi:type="dcterms:W3CDTF">2026-05-07T23:18:27.229Z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