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Spatially</w:t>
      </w:r>
      <w:r>
        <w:t xml:space="preserve"> </w:t>
      </w:r>
      <w:r>
        <w:t xml:space="preserve">explicit</w:t>
      </w:r>
      <w:r>
        <w:t xml:space="preserve"> </w:t>
      </w:r>
      <w:r>
        <w:t xml:space="preserve">mapping</w:t>
      </w:r>
      <w:r>
        <w:t xml:space="preserve"> </w:t>
      </w:r>
      <w:r>
        <w:t xml:space="preserve">of</w:t>
      </w:r>
      <w:r>
        <w:t xml:space="preserve"> </w:t>
      </w:r>
      <w:r>
        <w:t xml:space="preserve">ecological</w:t>
      </w:r>
      <w:r>
        <w:t xml:space="preserve"> </w:t>
      </w:r>
      <w:r>
        <w:t xml:space="preserve">similarity</w:t>
      </w:r>
      <w:r>
        <w:t xml:space="preserve"> </w:t>
      </w:r>
      <w:r>
        <w:t xml:space="preserve">across</w:t>
      </w:r>
      <w:r>
        <w:t xml:space="preserve"> </w:t>
      </w:r>
      <w:r>
        <w:t xml:space="preserve">a</w:t>
      </w:r>
      <w:r>
        <w:t xml:space="preserve"> </w:t>
      </w:r>
      <w:r>
        <w:t xml:space="preserve">large</w:t>
      </w:r>
      <w:r>
        <w:t xml:space="preserve"> </w:t>
      </w:r>
      <w:r>
        <w:t xml:space="preserve">region</w:t>
      </w:r>
      <w:r>
        <w:t xml:space="preserve"> </w:t>
      </w:r>
      <w:r>
        <w:t xml:space="preserve">using</w:t>
      </w:r>
      <w:r>
        <w:t xml:space="preserve"> </w:t>
      </w:r>
      <w:r>
        <w:t xml:space="preserve">matching</w:t>
      </w:r>
      <w:r>
        <w:t xml:space="preserve"> </w:t>
      </w:r>
      <w:r>
        <w:t xml:space="preserve">techniques.</w:t>
      </w:r>
    </w:p>
    <w:p>
      <w:pPr>
        <w:pStyle w:val="Author"/>
      </w:pPr>
      <w:r>
        <w:t xml:space="preserve">Evan</w:t>
      </w:r>
      <w:r>
        <w:t xml:space="preserve"> </w:t>
      </w:r>
      <w:r>
        <w:t xml:space="preserve">Muise</w:t>
      </w:r>
    </w:p>
    <w:p>
      <w:pPr>
        <w:pStyle w:val="Author"/>
      </w:pPr>
      <w:r>
        <w:t xml:space="preserve">Nicholas</w:t>
      </w:r>
      <w:r>
        <w:t xml:space="preserve"> </w:t>
      </w:r>
      <w:r>
        <w:t xml:space="preserve">Coops</w:t>
      </w:r>
    </w:p>
    <w:p>
      <w:pPr>
        <w:pStyle w:val="Date"/>
      </w:pPr>
      <w:r>
        <w:t xml:space="preserve">2024-04-25</w:t>
      </w:r>
    </w:p>
    <w:p>
      <w:pPr>
        <w:pStyle w:val="AbstractTitle"/>
      </w:pPr>
      <w:r>
        <w:t xml:space="preserve">Abstract</w:t>
      </w:r>
    </w:p>
    <w:p>
      <w:pPr>
        <w:pStyle w:val="Abstract"/>
      </w:pPr>
      <w:r>
        <w:t xml:space="preserve">ABSTRACT</w:t>
      </w:r>
    </w:p>
    <w:bookmarkStart w:id="20" w:name="introduction"/>
    <w:p>
      <w:pPr>
        <w:pStyle w:val="Heading2"/>
      </w:pPr>
      <w:r>
        <w:t xml:space="preserve">1 Introduction</w:t>
      </w:r>
    </w:p>
    <w:p>
      <w:pPr>
        <w:pStyle w:val="FirstParagraph"/>
      </w:pPr>
      <w:r>
        <w:t xml:space="preserve">A global biodiversity crisis is currently underway, driven by anthropogenic changes and pressures such as climate change, land-use changes, and invasive species, among others</w:t>
      </w:r>
      <w:r>
        <w:t xml:space="preserve"> </w:t>
      </w:r>
      <w:r>
        <w:t xml:space="preserve">(Dirzo and Raven 2003)</w:t>
      </w:r>
      <w:r>
        <w:t xml:space="preserve">. Protected areas have been demonstrated to be one of the most effective potential safeguards against these biodiversity losses</w:t>
      </w:r>
      <w:r>
        <w:t xml:space="preserve"> </w:t>
      </w:r>
      <w:r>
        <w:t xml:space="preserve">(Chape et al. 2005)</w:t>
      </w:r>
      <w:r>
        <w:t xml:space="preserve">. To assess the effectiveness of protected areas, it is necessary to collect data across entire jurisdictions and compare them to similar ecosystems that are not protected. However, collecting direct, field-derived information on biodiversity across large regions is simply not feasible due to financial and temporal constraints.</w:t>
      </w:r>
    </w:p>
    <w:p>
      <w:pPr>
        <w:pStyle w:val="BodyText"/>
      </w:pPr>
      <w:r>
        <w:t xml:space="preserve">Remote sensing data, however, can provide a time-efficient, cost-effective alternative to field data, and can be used to generate Essential Biodiversity Variables (EBVs) which are comparable, standardized datasets capable of measuring biodiversity change across large spatial extents through time</w:t>
      </w:r>
      <w:r>
        <w:t xml:space="preserve"> </w:t>
      </w:r>
      <w:r>
        <w:t xml:space="preserve">(Skidmore et al. 2021; Pereira et al. 2013)</w:t>
      </w:r>
      <w:r>
        <w:t xml:space="preserve">. Two EBV classes are particularly well suited to be used at regional to national scales; ecosystem structure and ecosystem function. Ecosystem structure is defined as the physical organization of biotic and abiotic materials in the system, and is commonly assessed as land cover and forest structural attributes using remote sensing</w:t>
      </w:r>
      <w:r>
        <w:t xml:space="preserve"> </w:t>
      </w:r>
      <w:r>
        <w:t xml:space="preserve">(Noss 1990)</w:t>
      </w:r>
      <w:r>
        <w:t xml:space="preserve">. Ecosystem function are attributes related to ecosystem performance, such as the inflows or outflows of energy/nutrients</w:t>
      </w:r>
      <w:r>
        <w:t xml:space="preserve"> </w:t>
      </w:r>
      <w:r>
        <w:t xml:space="preserve">(Pettorelli et al. 2018)</w:t>
      </w:r>
      <w:r>
        <w:t xml:space="preserve">. Remote sensing of ecosystem function commonly includes productivity metrics such as GPP</w:t>
      </w:r>
      <w:r>
        <w:t xml:space="preserve"> </w:t>
      </w:r>
      <w:r>
        <w:t xml:space="preserve">(Pettorelli et al. 2005, 2018)</w:t>
      </w:r>
      <w:r>
        <w:t xml:space="preserve">. Remote sensing-derived EBVs provide suitable spatial coverage, temporal depth, and temporal frequency to be used for biodiversity monitoring</w:t>
      </w:r>
      <w:r>
        <w:t xml:space="preserve"> </w:t>
      </w:r>
      <w:r>
        <w:t xml:space="preserve">(Skidmore et al. 2021)</w:t>
      </w:r>
      <w:r>
        <w:t xml:space="preserve">, and thus, protected area effectiveness assessments.</w:t>
      </w:r>
    </w:p>
    <w:p>
      <w:pPr>
        <w:pStyle w:val="BodyText"/>
      </w:pPr>
      <w:r>
        <w:t xml:space="preserve">The use of impact assessment techniques such as matching is becoming increasingly prevalent in studies of the effectiveness of protected areas</w:t>
      </w:r>
      <w:r>
        <w:t xml:space="preserve"> </w:t>
      </w:r>
      <w:r>
        <w:t xml:space="preserve">(Ferraro 2009)</w:t>
      </w:r>
      <w:r>
        <w:t xml:space="preserve">. Matching methods generally work by creating a counterfactual scenario in which conservation outcomes are compared between the protected area and what those outcomes would be if the given area were not protected</w:t>
      </w:r>
      <w:r>
        <w:t xml:space="preserve"> </w:t>
      </w:r>
      <w:r>
        <w:t xml:space="preserve">(Ribas, Pressey, and Bini 2021)</w:t>
      </w:r>
      <w:r>
        <w:t xml:space="preserve">. This is achieved by comparing a given protected area to an unprotected area with similar covariates, such as climate, topography, and various anthropogenic data. Propensity score matching uses the covariates and protected status with a logit regression to create a propensity score, which is then used to match the protected area to an unprotected area</w:t>
      </w:r>
      <w:r>
        <w:t xml:space="preserve"> </w:t>
      </w:r>
      <w:r>
        <w:t xml:space="preserve">(Austin 2011)</w:t>
      </w:r>
      <w:r>
        <w:t xml:space="preserve">. Coarsened exact matching (CEM) initially coarsens the covariates into bins (percentiles) and then performs exact matching on these bins, while retaining the original, uncoarsened data</w:t>
      </w:r>
      <w:r>
        <w:t xml:space="preserve"> </w:t>
      </w:r>
      <w:r>
        <w:t xml:space="preserve">(Iacus, King, and Porro 2012)</w:t>
      </w:r>
      <w:r>
        <w:t xml:space="preserve">. Other matching methods exist</w:t>
      </w:r>
      <w:r>
        <w:t xml:space="preserve"> </w:t>
      </w:r>
      <w:r>
        <w:t xml:space="preserve">(see Schleicher et al. 2020)</w:t>
      </w:r>
      <w:r>
        <w:t xml:space="preserve">, but one common issue common to these methods is that many data samples are dropped because there is no suitable match to be found. This can be problematic when attempting to create spatial counterfactuals, such as when evaluating the efficacy of protected areas across large regions, as it can lead to a loss of spatial coverage.</w:t>
      </w:r>
    </w:p>
    <w:p>
      <w:pPr>
        <w:pStyle w:val="BodyText"/>
      </w:pPr>
      <w:r>
        <w:t xml:space="preserve">In this study, we seek to enhance the spatial coverage of CEM using a two-step approach. Firstly, we coarsen the covariates into bins, and then perform exact matching on these bins. In the event that no suitable match can be found, a KNN (k = 1) approach is used to identify the nearest match. This two-step approach allows for a more comprehensive assessment of the effectiveness of protected areas, where no observations are discarded. This method is applied to the forested regions of British Columbia, Canada, and the effectiveness of protected areas to is compared to similar ecosystems that are not protected. We compare the spatial coverage of standard CEM method and our expanded CEM method, and also apply both methods for assessing protected area effectiveness at conserving two EBV classes; ecosystem structure and ecosystem function. Further, we generate bootstrap confidence intervals for each CEM bin for our two EBV classes and compare every forested area in BC to their respective confidence interval. This allows for the respatialization of the results, allowing for managers to identify regions in need of restoration (outside the confidence interval, in protected areas), or protection (inside the confidence interval, outside of protected areas).</w:t>
      </w:r>
    </w:p>
    <w:bookmarkEnd w:id="20"/>
    <w:bookmarkStart w:id="21" w:name="sec-data-methods"/>
    <w:p>
      <w:pPr>
        <w:pStyle w:val="Heading2"/>
      </w:pPr>
      <w:r>
        <w:t xml:space="preserve">2 Data &amp; Methods</w:t>
      </w:r>
    </w:p>
    <w:bookmarkEnd w:id="21"/>
    <w:bookmarkStart w:id="22" w:name="results"/>
    <w:p>
      <w:pPr>
        <w:pStyle w:val="Heading2"/>
      </w:pPr>
      <w:r>
        <w:t xml:space="preserve">3 Results</w:t>
      </w:r>
    </w:p>
    <w:bookmarkEnd w:id="22"/>
    <w:bookmarkStart w:id="23" w:name="conclusion"/>
    <w:p>
      <w:pPr>
        <w:pStyle w:val="Heading2"/>
      </w:pPr>
      <w:r>
        <w:t xml:space="preserve">4 Conclusion</w:t>
      </w:r>
    </w:p>
    <w:bookmarkEnd w:id="23"/>
    <w:bookmarkStart w:id="49" w:name="references"/>
    <w:p>
      <w:pPr>
        <w:pStyle w:val="Heading2"/>
      </w:pPr>
      <w:r>
        <w:t xml:space="preserve">References</w:t>
      </w:r>
    </w:p>
    <w:bookmarkStart w:id="48" w:name="refs"/>
    <w:bookmarkStart w:id="25" w:name="ref-austin2011"/>
    <w:p>
      <w:pPr>
        <w:pStyle w:val="Bibliography"/>
      </w:pPr>
      <w:r>
        <w:t xml:space="preserve">Austin, Peter C. 2011.</w:t>
      </w:r>
      <w:r>
        <w:t xml:space="preserve"> </w:t>
      </w:r>
      <w:r>
        <w:t xml:space="preserve">“An Introduction to Propensity Score Methods for Reducing the Effects of Confounding in Observational Studies.”</w:t>
      </w:r>
      <w:r>
        <w:t xml:space="preserve"> </w:t>
      </w:r>
      <w:r>
        <w:rPr>
          <w:i/>
          <w:iCs/>
        </w:rPr>
        <w:t xml:space="preserve">Multivariate Behavioral Research</w:t>
      </w:r>
      <w:r>
        <w:t xml:space="preserve"> </w:t>
      </w:r>
      <w:r>
        <w:t xml:space="preserve">46 (3): 399–424.</w:t>
      </w:r>
      <w:r>
        <w:t xml:space="preserve"> </w:t>
      </w:r>
      <w:hyperlink r:id="rId24">
        <w:r>
          <w:rPr>
            <w:rStyle w:val="Hyperlink"/>
          </w:rPr>
          <w:t xml:space="preserve">https://doi.org/10.1080/00273171.2011.568786</w:t>
        </w:r>
      </w:hyperlink>
      <w:r>
        <w:t xml:space="preserve">.</w:t>
      </w:r>
    </w:p>
    <w:bookmarkEnd w:id="25"/>
    <w:bookmarkStart w:id="27" w:name="ref-chape2005"/>
    <w:p>
      <w:pPr>
        <w:pStyle w:val="Bibliography"/>
      </w:pPr>
      <w:r>
        <w:t xml:space="preserve">Chape, S, J Harrison, M Spalding, and I Lysenko. 2005.</w:t>
      </w:r>
      <w:r>
        <w:t xml:space="preserve"> </w:t>
      </w:r>
      <w:r>
        <w:t xml:space="preserve">“Measuring the Extent and Effectiveness of Protected Areas as an Indicator for Meeting Global Biodiversity Targets.”</w:t>
      </w:r>
      <w:r>
        <w:t xml:space="preserve"> </w:t>
      </w:r>
      <w:r>
        <w:rPr>
          <w:i/>
          <w:iCs/>
        </w:rPr>
        <w:t xml:space="preserve">Philosophical Transactions of the Royal Society B: Biological Sciences</w:t>
      </w:r>
      <w:r>
        <w:t xml:space="preserve"> </w:t>
      </w:r>
      <w:r>
        <w:t xml:space="preserve">360 (1454): 443455.</w:t>
      </w:r>
      <w:r>
        <w:t xml:space="preserve"> </w:t>
      </w:r>
      <w:hyperlink r:id="rId26">
        <w:r>
          <w:rPr>
            <w:rStyle w:val="Hyperlink"/>
          </w:rPr>
          <w:t xml:space="preserve">https://doi.org/10.1098/rstb.2004.1592</w:t>
        </w:r>
      </w:hyperlink>
      <w:r>
        <w:t xml:space="preserve">.</w:t>
      </w:r>
    </w:p>
    <w:bookmarkEnd w:id="27"/>
    <w:bookmarkStart w:id="29" w:name="ref-dirzo2003"/>
    <w:p>
      <w:pPr>
        <w:pStyle w:val="Bibliography"/>
      </w:pPr>
      <w:r>
        <w:t xml:space="preserve">Dirzo, Rodolfo, and Peter H. Raven. 2003.</w:t>
      </w:r>
      <w:r>
        <w:t xml:space="preserve"> </w:t>
      </w:r>
      <w:r>
        <w:t xml:space="preserve">“Global State of Biodiversity and Loss.”</w:t>
      </w:r>
      <w:r>
        <w:t xml:space="preserve"> </w:t>
      </w:r>
      <w:r>
        <w:rPr>
          <w:i/>
          <w:iCs/>
        </w:rPr>
        <w:t xml:space="preserve">Annual Review of Environment and Resources</w:t>
      </w:r>
      <w:r>
        <w:t xml:space="preserve"> </w:t>
      </w:r>
      <w:r>
        <w:t xml:space="preserve">28 (Volume 28, 2003): 137–67.</w:t>
      </w:r>
      <w:r>
        <w:t xml:space="preserve"> </w:t>
      </w:r>
      <w:hyperlink r:id="rId28">
        <w:r>
          <w:rPr>
            <w:rStyle w:val="Hyperlink"/>
          </w:rPr>
          <w:t xml:space="preserve">https://doi.org/10.1146/annurev.energy.28.050302.105532</w:t>
        </w:r>
      </w:hyperlink>
      <w:r>
        <w:t xml:space="preserve">.</w:t>
      </w:r>
    </w:p>
    <w:bookmarkEnd w:id="29"/>
    <w:bookmarkStart w:id="31" w:name="ref-ferraro2009"/>
    <w:p>
      <w:pPr>
        <w:pStyle w:val="Bibliography"/>
      </w:pPr>
      <w:r>
        <w:t xml:space="preserve">Ferraro, Paul J. 2009.</w:t>
      </w:r>
      <w:r>
        <w:t xml:space="preserve"> </w:t>
      </w:r>
      <w:r>
        <w:t xml:space="preserve">“Counterfactual Thinking and Impact Evaluation in Environmental Policy.”</w:t>
      </w:r>
      <w:r>
        <w:t xml:space="preserve"> </w:t>
      </w:r>
      <w:r>
        <w:rPr>
          <w:i/>
          <w:iCs/>
        </w:rPr>
        <w:t xml:space="preserve">New Directions for Evaluation</w:t>
      </w:r>
      <w:r>
        <w:t xml:space="preserve"> </w:t>
      </w:r>
      <w:r>
        <w:t xml:space="preserve">2009 (122): 75–84.</w:t>
      </w:r>
      <w:r>
        <w:t xml:space="preserve"> </w:t>
      </w:r>
      <w:hyperlink r:id="rId30">
        <w:r>
          <w:rPr>
            <w:rStyle w:val="Hyperlink"/>
          </w:rPr>
          <w:t xml:space="preserve">https://doi.org/10.1002/ev.297</w:t>
        </w:r>
      </w:hyperlink>
      <w:r>
        <w:t xml:space="preserve">.</w:t>
      </w:r>
    </w:p>
    <w:bookmarkEnd w:id="31"/>
    <w:bookmarkStart w:id="33" w:name="ref-iacus2012"/>
    <w:p>
      <w:pPr>
        <w:pStyle w:val="Bibliography"/>
      </w:pPr>
      <w:r>
        <w:t xml:space="preserve">Iacus, Stefano M., Gary King, and Giuseppe Porro. 2012.</w:t>
      </w:r>
      <w:r>
        <w:t xml:space="preserve"> </w:t>
      </w:r>
      <w:r>
        <w:t xml:space="preserve">“Causal Inference Without Balance Checking: Coarsened Exact Matching.”</w:t>
      </w:r>
      <w:r>
        <w:t xml:space="preserve"> </w:t>
      </w:r>
      <w:r>
        <w:rPr>
          <w:i/>
          <w:iCs/>
        </w:rPr>
        <w:t xml:space="preserve">Political Analysis</w:t>
      </w:r>
      <w:r>
        <w:t xml:space="preserve"> </w:t>
      </w:r>
      <w:r>
        <w:t xml:space="preserve">20 (1): 1–24.</w:t>
      </w:r>
      <w:r>
        <w:t xml:space="preserve"> </w:t>
      </w:r>
      <w:hyperlink r:id="rId32">
        <w:r>
          <w:rPr>
            <w:rStyle w:val="Hyperlink"/>
          </w:rPr>
          <w:t xml:space="preserve">https://doi.org/10.1093/pan/mpr013</w:t>
        </w:r>
      </w:hyperlink>
      <w:r>
        <w:t xml:space="preserve">.</w:t>
      </w:r>
    </w:p>
    <w:bookmarkEnd w:id="33"/>
    <w:bookmarkStart w:id="35" w:name="ref-noss1990"/>
    <w:p>
      <w:pPr>
        <w:pStyle w:val="Bibliography"/>
      </w:pPr>
      <w:r>
        <w:t xml:space="preserve">Noss, Reed F. 1990.</w:t>
      </w:r>
      <w:r>
        <w:t xml:space="preserve"> </w:t>
      </w:r>
      <w:r>
        <w:t xml:space="preserve">“Indicators for Monitoring Biodiversity: A Hierarchical Approach.”</w:t>
      </w:r>
      <w:r>
        <w:t xml:space="preserve"> </w:t>
      </w:r>
      <w:r>
        <w:rPr>
          <w:i/>
          <w:iCs/>
        </w:rPr>
        <w:t xml:space="preserve">Conservation Biology</w:t>
      </w:r>
      <w:r>
        <w:t xml:space="preserve"> </w:t>
      </w:r>
      <w:r>
        <w:t xml:space="preserve">4 (4): 355–64.</w:t>
      </w:r>
      <w:r>
        <w:t xml:space="preserve"> </w:t>
      </w:r>
      <w:hyperlink r:id="rId34">
        <w:r>
          <w:rPr>
            <w:rStyle w:val="Hyperlink"/>
          </w:rPr>
          <w:t xml:space="preserve">https://doi.org/10.1111/j.1523-1739.1990.tb00309.x</w:t>
        </w:r>
      </w:hyperlink>
      <w:r>
        <w:t xml:space="preserve">.</w:t>
      </w:r>
    </w:p>
    <w:bookmarkEnd w:id="35"/>
    <w:bookmarkStart w:id="37" w:name="ref-pereira2013"/>
    <w:p>
      <w:pPr>
        <w:pStyle w:val="Bibliography"/>
      </w:pPr>
      <w:r>
        <w:t xml:space="preserve">Pereira, H. M., S. Ferrier, M. Walters, G. N. Geller, R. H. G. Jongman, R. J. Scholes, M. W. Bruford, et al. 2013.</w:t>
      </w:r>
      <w:r>
        <w:t xml:space="preserve"> </w:t>
      </w:r>
      <w:r>
        <w:t xml:space="preserve">“Essential Biodiversity Variables.”</w:t>
      </w:r>
      <w:r>
        <w:t xml:space="preserve"> </w:t>
      </w:r>
      <w:r>
        <w:rPr>
          <w:i/>
          <w:iCs/>
        </w:rPr>
        <w:t xml:space="preserve">Science</w:t>
      </w:r>
      <w:r>
        <w:t xml:space="preserve"> </w:t>
      </w:r>
      <w:r>
        <w:t xml:space="preserve">339 (6117): 277–78.</w:t>
      </w:r>
      <w:r>
        <w:t xml:space="preserve"> </w:t>
      </w:r>
      <w:hyperlink r:id="rId36">
        <w:r>
          <w:rPr>
            <w:rStyle w:val="Hyperlink"/>
          </w:rPr>
          <w:t xml:space="preserve">https://doi.org/10.1126/science.1229931</w:t>
        </w:r>
      </w:hyperlink>
      <w:r>
        <w:t xml:space="preserve">.</w:t>
      </w:r>
    </w:p>
    <w:bookmarkEnd w:id="37"/>
    <w:bookmarkStart w:id="39" w:name="ref-pettorelli2018"/>
    <w:p>
      <w:pPr>
        <w:pStyle w:val="Bibliography"/>
      </w:pPr>
      <w:r>
        <w:t xml:space="preserve">Pettorelli, Nathalie, Henrike Schulte to Bühne, Ayesha Tulloch, Grégoire Dubois, Cate Macinnis-Ng, Ana M. Queirós, David A. Keith, et al. 2018.</w:t>
      </w:r>
      <w:r>
        <w:t xml:space="preserve"> </w:t>
      </w:r>
      <w:r>
        <w:t xml:space="preserve">“Satellite Remote Sensing of Ecosystem Functions: Opportunities, Challenges and Way Forward.”</w:t>
      </w:r>
      <w:r>
        <w:t xml:space="preserve"> </w:t>
      </w:r>
      <w:r>
        <w:rPr>
          <w:i/>
          <w:iCs/>
        </w:rPr>
        <w:t xml:space="preserve">Remote Sensing in Ecology and Conservation</w:t>
      </w:r>
      <w:r>
        <w:t xml:space="preserve"> </w:t>
      </w:r>
      <w:r>
        <w:t xml:space="preserve">4 (2): 71–93.</w:t>
      </w:r>
      <w:r>
        <w:t xml:space="preserve"> </w:t>
      </w:r>
      <w:hyperlink r:id="rId38">
        <w:r>
          <w:rPr>
            <w:rStyle w:val="Hyperlink"/>
          </w:rPr>
          <w:t xml:space="preserve">https://doi.org/10.1002/rse2.59</w:t>
        </w:r>
      </w:hyperlink>
      <w:r>
        <w:t xml:space="preserve">.</w:t>
      </w:r>
    </w:p>
    <w:bookmarkEnd w:id="39"/>
    <w:bookmarkStart w:id="41" w:name="ref-pettorelli2005"/>
    <w:p>
      <w:pPr>
        <w:pStyle w:val="Bibliography"/>
      </w:pPr>
      <w:r>
        <w:t xml:space="preserve">Pettorelli, Nathalie, Jon Olav Vik, Atle Mysterud, Jean-Michel Gaillard, Compton J. Tucker, and Nils Chr. Stenseth. 2005.</w:t>
      </w:r>
      <w:r>
        <w:t xml:space="preserve"> </w:t>
      </w:r>
      <w:r>
        <w:t xml:space="preserve">“Using the Satellite-Derived NDVI to Assess Ecological Responses to Environmental Change.”</w:t>
      </w:r>
      <w:r>
        <w:t xml:space="preserve"> </w:t>
      </w:r>
      <w:r>
        <w:rPr>
          <w:i/>
          <w:iCs/>
        </w:rPr>
        <w:t xml:space="preserve">Trends in Ecology &amp; Evolution</w:t>
      </w:r>
      <w:r>
        <w:t xml:space="preserve"> </w:t>
      </w:r>
      <w:r>
        <w:t xml:space="preserve">20 (9): 503–10.</w:t>
      </w:r>
      <w:r>
        <w:t xml:space="preserve"> </w:t>
      </w:r>
      <w:hyperlink r:id="rId40">
        <w:r>
          <w:rPr>
            <w:rStyle w:val="Hyperlink"/>
          </w:rPr>
          <w:t xml:space="preserve">https://doi.org/10.1016/j.tree.2005.05.011</w:t>
        </w:r>
      </w:hyperlink>
      <w:r>
        <w:t xml:space="preserve">.</w:t>
      </w:r>
    </w:p>
    <w:bookmarkEnd w:id="41"/>
    <w:bookmarkStart w:id="43" w:name="ref-ribas2021"/>
    <w:p>
      <w:pPr>
        <w:pStyle w:val="Bibliography"/>
      </w:pPr>
      <w:r>
        <w:t xml:space="preserve">Ribas, Luiz G. S., Robert L. Pressey, and Luis M. Bini. 2021.</w:t>
      </w:r>
      <w:r>
        <w:t xml:space="preserve"> </w:t>
      </w:r>
      <w:r>
        <w:t xml:space="preserve">“Estimating Counterfactuals for Evaluation of Ecological and Conservation Impact: An Introduction to Matching Methods.”</w:t>
      </w:r>
      <w:r>
        <w:t xml:space="preserve"> </w:t>
      </w:r>
      <w:r>
        <w:rPr>
          <w:i/>
          <w:iCs/>
        </w:rPr>
        <w:t xml:space="preserve">Biological Reviews</w:t>
      </w:r>
      <w:r>
        <w:t xml:space="preserve"> </w:t>
      </w:r>
      <w:r>
        <w:t xml:space="preserve">96 (4): 1186–1204.</w:t>
      </w:r>
      <w:r>
        <w:t xml:space="preserve"> </w:t>
      </w:r>
      <w:hyperlink r:id="rId42">
        <w:r>
          <w:rPr>
            <w:rStyle w:val="Hyperlink"/>
          </w:rPr>
          <w:t xml:space="preserve">https://doi.org/10.1111/brv.12697</w:t>
        </w:r>
      </w:hyperlink>
      <w:r>
        <w:t xml:space="preserve">.</w:t>
      </w:r>
    </w:p>
    <w:bookmarkEnd w:id="43"/>
    <w:bookmarkStart w:id="45" w:name="ref-schleicher2020"/>
    <w:p>
      <w:pPr>
        <w:pStyle w:val="Bibliography"/>
      </w:pPr>
      <w:r>
        <w:t xml:space="preserve">Schleicher, Judith, Johanna Eklund, Megan D. Barnes, Jonas Geldmann, Johan A. Oldekop, and Julia P. G. Jones. 2020.</w:t>
      </w:r>
      <w:r>
        <w:t xml:space="preserve"> </w:t>
      </w:r>
      <w:r>
        <w:t xml:space="preserve">“Statistical Matching for Conservation Science.”</w:t>
      </w:r>
      <w:r>
        <w:t xml:space="preserve"> </w:t>
      </w:r>
      <w:r>
        <w:rPr>
          <w:i/>
          <w:iCs/>
        </w:rPr>
        <w:t xml:space="preserve">Conservation Biology</w:t>
      </w:r>
      <w:r>
        <w:t xml:space="preserve"> </w:t>
      </w:r>
      <w:r>
        <w:t xml:space="preserve">34 (3): 538–49.</w:t>
      </w:r>
      <w:r>
        <w:t xml:space="preserve"> </w:t>
      </w:r>
      <w:hyperlink r:id="rId44">
        <w:r>
          <w:rPr>
            <w:rStyle w:val="Hyperlink"/>
          </w:rPr>
          <w:t xml:space="preserve">https://doi.org/10.1111/cobi.13448</w:t>
        </w:r>
      </w:hyperlink>
      <w:r>
        <w:t xml:space="preserve">.</w:t>
      </w:r>
    </w:p>
    <w:bookmarkEnd w:id="45"/>
    <w:bookmarkStart w:id="47" w:name="ref-skidmore2021"/>
    <w:p>
      <w:pPr>
        <w:pStyle w:val="Bibliography"/>
      </w:pPr>
      <w:r>
        <w:t xml:space="preserve">Skidmore, Andrew K., Nicholas C. Coops, Elnaz Neinavaz, Abebe Ali, Michael E. Schaepman, Marc Paganini, W. Daniel Kissling, et al. 2021.</w:t>
      </w:r>
      <w:r>
        <w:t xml:space="preserve"> </w:t>
      </w:r>
      <w:r>
        <w:t xml:space="preserve">“Priority List of Biodiversity Metrics to Observe from Space.”</w:t>
      </w:r>
      <w:r>
        <w:t xml:space="preserve"> </w:t>
      </w:r>
      <w:r>
        <w:rPr>
          <w:i/>
          <w:iCs/>
        </w:rPr>
        <w:t xml:space="preserve">Nature Ecology &amp; Evolution</w:t>
      </w:r>
      <w:r>
        <w:t xml:space="preserve">, May.</w:t>
      </w:r>
      <w:r>
        <w:t xml:space="preserve"> </w:t>
      </w:r>
      <w:hyperlink r:id="rId46">
        <w:r>
          <w:rPr>
            <w:rStyle w:val="Hyperlink"/>
          </w:rPr>
          <w:t xml:space="preserve">https://doi.org/10.1038/s41559-021-01451-x</w:t>
        </w:r>
      </w:hyperlink>
      <w:r>
        <w:t xml:space="preserve">.</w:t>
      </w:r>
    </w:p>
    <w:bookmarkEnd w:id="47"/>
    <w:bookmarkEnd w:id="48"/>
    <w:bookmarkEnd w:id="49"/>
    <w:sectPr w:rsidR="008D4AFC" w:rsidRPr="004D7890" w:rsidSect="009821D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536A4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25EA4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C7C643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C0220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39842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80CB12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BB8084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46CB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548703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AD824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7562AE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70B1D"/>
    <w:rsid w:val="000A049B"/>
    <w:rsid w:val="000C2E6E"/>
    <w:rsid w:val="001C785A"/>
    <w:rsid w:val="002C1153"/>
    <w:rsid w:val="003615E5"/>
    <w:rsid w:val="00371DC7"/>
    <w:rsid w:val="003A42BB"/>
    <w:rsid w:val="004640C0"/>
    <w:rsid w:val="004D7890"/>
    <w:rsid w:val="004E29B3"/>
    <w:rsid w:val="00590D07"/>
    <w:rsid w:val="00784D58"/>
    <w:rsid w:val="00786092"/>
    <w:rsid w:val="007E77C5"/>
    <w:rsid w:val="007F18FA"/>
    <w:rsid w:val="008D4AFC"/>
    <w:rsid w:val="008D6863"/>
    <w:rsid w:val="009821D1"/>
    <w:rsid w:val="00A87B24"/>
    <w:rsid w:val="00AB2AD4"/>
    <w:rsid w:val="00AB55E9"/>
    <w:rsid w:val="00AF2530"/>
    <w:rsid w:val="00B610D5"/>
    <w:rsid w:val="00B86B75"/>
    <w:rsid w:val="00B917D1"/>
    <w:rsid w:val="00B96F7F"/>
    <w:rsid w:val="00BC38DE"/>
    <w:rsid w:val="00BC48D5"/>
    <w:rsid w:val="00C15C41"/>
    <w:rsid w:val="00C30467"/>
    <w:rsid w:val="00C36279"/>
    <w:rsid w:val="00CE04FC"/>
    <w:rsid w:val="00D04007"/>
    <w:rsid w:val="00DB4F79"/>
    <w:rsid w:val="00E00B0E"/>
    <w:rsid w:val="00E315A3"/>
    <w:rsid w:val="00E42D73"/>
    <w:rsid w:val="00E5014C"/>
    <w:rsid w:val="00EF76FC"/>
    <w:rsid w:val="00FB44C6"/>
    <w:rsid w:val="00FC5E5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0A049B"/>
    <w:pPr>
      <w:keepNext/>
      <w:keepLines/>
      <w:spacing w:after="0" w:before="480"/>
      <w:contextualSpacing/>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E00B0E"/>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D04007"/>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B917D1"/>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B917D1"/>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70B1D"/>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FB44C6"/>
  </w:style>
  <w:style w:customStyle="1" w:styleId="Compact" w:type="paragraph">
    <w:name w:val="Compact"/>
    <w:basedOn w:val="BodyText"/>
    <w:qFormat/>
    <w:rsid w:val="00AF2530"/>
    <w:pPr>
      <w:spacing w:after="36" w:before="36"/>
    </w:pPr>
  </w:style>
  <w:style w:styleId="Title" w:type="paragraph">
    <w:name w:val="Title"/>
    <w:basedOn w:val="Normal"/>
    <w:next w:val="BodyText"/>
    <w:qFormat/>
    <w:rsid w:val="004640C0"/>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4640C0"/>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EF76FC"/>
    <w:pPr>
      <w:keepNext/>
      <w:keepLines/>
      <w:spacing w:after="300" w:before="300" w:line="480" w:lineRule="auto"/>
    </w:pPr>
    <w:rPr>
      <w:rFonts w:ascii="Times New Roman" w:hAnsi="Times New Roman"/>
      <w:szCs w:val="20"/>
    </w:rPr>
  </w:style>
  <w:style w:styleId="Bibliography" w:type="paragraph">
    <w:name w:val="Bibliography"/>
    <w:basedOn w:val="Normal"/>
    <w:qFormat/>
    <w:rsid w:val="00EF76FC"/>
    <w:pPr>
      <w:spacing w:line="480" w:lineRule="auto"/>
      <w:ind w:hanging="720" w:left="720"/>
    </w:pPr>
    <w:rPr>
      <w:rFonts w:ascii="Calibri" w:hAnsi="Calibri"/>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C15C41"/>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70B1D"/>
    <w:rPr>
      <w:rFonts w:ascii="Times New Roman" w:hAnsi="Times New Roman"/>
    </w:rPr>
  </w:style>
  <w:style w:styleId="Header" w:type="paragraph">
    <w:name w:val="header"/>
    <w:basedOn w:val="Normal"/>
    <w:link w:val="HeaderChar"/>
    <w:unhideWhenUsed/>
    <w:rsid w:val="000A049B"/>
    <w:pPr>
      <w:tabs>
        <w:tab w:pos="4680" w:val="center"/>
        <w:tab w:pos="9360" w:val="right"/>
      </w:tabs>
      <w:spacing w:after="0"/>
    </w:pPr>
  </w:style>
  <w:style w:customStyle="1" w:styleId="HeaderChar" w:type="character">
    <w:name w:val="Header Char"/>
    <w:basedOn w:val="DefaultParagraphFont"/>
    <w:link w:val="Header"/>
    <w:rsid w:val="000A049B"/>
  </w:style>
  <w:style w:styleId="Footer" w:type="paragraph">
    <w:name w:val="footer"/>
    <w:basedOn w:val="Normal"/>
    <w:link w:val="FooterChar"/>
    <w:uiPriority w:val="99"/>
    <w:unhideWhenUsed/>
    <w:rsid w:val="000A049B"/>
    <w:pPr>
      <w:tabs>
        <w:tab w:pos="4680" w:val="center"/>
        <w:tab w:pos="9360" w:val="right"/>
      </w:tabs>
      <w:spacing w:after="0"/>
    </w:pPr>
  </w:style>
  <w:style w:customStyle="1" w:styleId="FooterChar" w:type="character">
    <w:name w:val="Footer Char"/>
    <w:basedOn w:val="DefaultParagraphFont"/>
    <w:link w:val="Footer"/>
    <w:uiPriority w:val="99"/>
    <w:rsid w:val="000A049B"/>
  </w:style>
  <w:style w:styleId="LineNumber" w:type="character">
    <w:name w:val="line number"/>
    <w:basedOn w:val="DefaultParagraphFont"/>
    <w:semiHidden/>
    <w:unhideWhenUsed/>
    <w:rsid w:val="009821D1"/>
  </w:style>
  <w:style w:styleId="TOC2" w:type="paragraph">
    <w:name w:val="toc 2"/>
    <w:basedOn w:val="Normal"/>
    <w:next w:val="Normal"/>
    <w:autoRedefine/>
    <w:uiPriority w:val="39"/>
    <w:unhideWhenUsed/>
    <w:rsid w:val="00C15C41"/>
    <w:pPr>
      <w:spacing w:after="100"/>
      <w:ind w:left="240"/>
    </w:pPr>
  </w:style>
  <w:style w:styleId="TOC1" w:type="paragraph">
    <w:name w:val="toc 1"/>
    <w:basedOn w:val="Normal"/>
    <w:next w:val="Normal"/>
    <w:autoRedefine/>
    <w:uiPriority w:val="39"/>
    <w:unhideWhenUsed/>
    <w:rsid w:val="00C15C41"/>
    <w:pPr>
      <w:spacing w:after="100"/>
    </w:pPr>
  </w:style>
  <w:style w:styleId="TableGrid" w:type="table">
    <w:name w:val="Table Grid"/>
    <w:basedOn w:val="TableNormal"/>
    <w:rsid w:val="003A42B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4" w:type="table">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3A42BB"/>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able2" w:type="table">
    <w:name w:val="Plain Table 2"/>
    <w:basedOn w:val="TableNormal"/>
    <w:rsid w:val="003A42BB"/>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0" Target="https://doi.org/10.1002/ev.297" TargetMode="External" /><Relationship Type="http://schemas.openxmlformats.org/officeDocument/2006/relationships/hyperlink" Id="rId38" Target="https://doi.org/10.1002/rse2.59" TargetMode="External" /><Relationship Type="http://schemas.openxmlformats.org/officeDocument/2006/relationships/hyperlink" Id="rId40" Target="https://doi.org/10.1016/j.tree.2005.05.011" TargetMode="External" /><Relationship Type="http://schemas.openxmlformats.org/officeDocument/2006/relationships/hyperlink" Id="rId46" Target="https://doi.org/10.1038/s41559-021-01451-x" TargetMode="External" /><Relationship Type="http://schemas.openxmlformats.org/officeDocument/2006/relationships/hyperlink" Id="rId24" Target="https://doi.org/10.1080/00273171.2011.568786" TargetMode="External" /><Relationship Type="http://schemas.openxmlformats.org/officeDocument/2006/relationships/hyperlink" Id="rId32" Target="https://doi.org/10.1093/pan/mpr013" TargetMode="External" /><Relationship Type="http://schemas.openxmlformats.org/officeDocument/2006/relationships/hyperlink" Id="rId26" Target="https://doi.org/10.1098/rstb.2004.1592" TargetMode="External" /><Relationship Type="http://schemas.openxmlformats.org/officeDocument/2006/relationships/hyperlink" Id="rId42" Target="https://doi.org/10.1111/brv.12697" TargetMode="External" /><Relationship Type="http://schemas.openxmlformats.org/officeDocument/2006/relationships/hyperlink" Id="rId44" Target="https://doi.org/10.1111/cobi.13448" TargetMode="External" /><Relationship Type="http://schemas.openxmlformats.org/officeDocument/2006/relationships/hyperlink" Id="rId34" Target="https://doi.org/10.1111/j.1523-1739.1990.tb00309.x" TargetMode="External" /><Relationship Type="http://schemas.openxmlformats.org/officeDocument/2006/relationships/hyperlink" Id="rId36" Target="https://doi.org/10.1126/science.1229931" TargetMode="External" /><Relationship Type="http://schemas.openxmlformats.org/officeDocument/2006/relationships/hyperlink" Id="rId28" Target="https://doi.org/10.1146/annurev.energy.28.050302.105532"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2/ev.297" TargetMode="External" /><Relationship Type="http://schemas.openxmlformats.org/officeDocument/2006/relationships/hyperlink" Id="rId38" Target="https://doi.org/10.1002/rse2.59" TargetMode="External" /><Relationship Type="http://schemas.openxmlformats.org/officeDocument/2006/relationships/hyperlink" Id="rId40" Target="https://doi.org/10.1016/j.tree.2005.05.011" TargetMode="External" /><Relationship Type="http://schemas.openxmlformats.org/officeDocument/2006/relationships/hyperlink" Id="rId46" Target="https://doi.org/10.1038/s41559-021-01451-x" TargetMode="External" /><Relationship Type="http://schemas.openxmlformats.org/officeDocument/2006/relationships/hyperlink" Id="rId24" Target="https://doi.org/10.1080/00273171.2011.568786" TargetMode="External" /><Relationship Type="http://schemas.openxmlformats.org/officeDocument/2006/relationships/hyperlink" Id="rId32" Target="https://doi.org/10.1093/pan/mpr013" TargetMode="External" /><Relationship Type="http://schemas.openxmlformats.org/officeDocument/2006/relationships/hyperlink" Id="rId26" Target="https://doi.org/10.1098/rstb.2004.1592" TargetMode="External" /><Relationship Type="http://schemas.openxmlformats.org/officeDocument/2006/relationships/hyperlink" Id="rId42" Target="https://doi.org/10.1111/brv.12697" TargetMode="External" /><Relationship Type="http://schemas.openxmlformats.org/officeDocument/2006/relationships/hyperlink" Id="rId44" Target="https://doi.org/10.1111/cobi.13448" TargetMode="External" /><Relationship Type="http://schemas.openxmlformats.org/officeDocument/2006/relationships/hyperlink" Id="rId34" Target="https://doi.org/10.1111/j.1523-1739.1990.tb00309.x" TargetMode="External" /><Relationship Type="http://schemas.openxmlformats.org/officeDocument/2006/relationships/hyperlink" Id="rId36" Target="https://doi.org/10.1126/science.1229931" TargetMode="External" /><Relationship Type="http://schemas.openxmlformats.org/officeDocument/2006/relationships/hyperlink" Id="rId28" Target="https://doi.org/10.1146/annurev.energy.28.050302.1055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Spatially explicit mapping of ecological similarity across a large region using matching techniques.</dc:title>
  <dc:creator>Evan Muise; Nicholas Coops</dc:creator>
  <cp:keywords>Protected areas, Matching methods, Coarsened exact matching, Essential Biodiversity Variables</cp:keywords>
  <dcterms:created xsi:type="dcterms:W3CDTF">2024-04-25T18:57:10Z</dcterms:created>
  <dcterms:modified xsi:type="dcterms:W3CDTF">2024-04-25T18:57:10Z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Probably am not doing a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