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5"/>
      </w:pPr>
      <w:r>
        <w:drawing>
          <wp:inline distT="0" distB="0" distL="0" distR="0">
            <wp:extent cx="161925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19250" cy="428625"/>
                    </a:xfrm>
                    <a:prstGeom prst="rect">
                      <a:avLst/>
                    </a:prstGeom>
                  </pic:spPr>
                </pic:pic>
              </a:graphicData>
            </a:graphic>
          </wp:inline>
        </w:drawing>
      </w:r>
    </w:p>
    <w:p>
      <w:pPr>
        <w:pBdr>
          <w:bottom w:val="single" w:color="03EAB3" w:sz="6" w:space="5"/>
        </w:pBdr>
        <w:spacing w:after="10"/>
      </w:pPr>
      <w:r>
        <w:rPr>
          <w:rFonts w:ascii="Tahoma" w:cs="Tahoma" w:eastAsia="Tahoma" w:hAnsi="Tahoma"/>
          <w:b/>
          <w:bCs/>
          <w:color w:val="181818"/>
          <w:sz w:val="36"/>
          <w:szCs w:val="36"/>
        </w:rPr>
        <w:t xml:space="preserve">Lead Machine</w:t>
      </w:r>
    </w:p>
    <w:p>
      <w:pPr>
        <w:spacing w:after="70" w:line="260"/>
      </w:pPr>
      <w:r>
        <w:rPr>
          <w:rFonts w:ascii="Tahoma" w:cs="Tahoma" w:eastAsia="Tahoma" w:hAnsi="Tahoma"/>
          <w:color w:val="6B7280"/>
          <w:sz w:val="15"/>
          <w:szCs w:val="15"/>
        </w:rPr>
        <w:t xml:space="preserve">60-Day Experiment Brief  |  March 2026  |  Prepared by Michael Varlese  |  Confidential</w:t>
      </w:r>
    </w:p>
    <w:p>
      <w:pPr>
        <w:pBdr>
          <w:bottom w:val="single" w:color="03EAB3" w:sz="4" w:space="5"/>
        </w:pBdr>
        <w:spacing w:after="70" w:before="200"/>
      </w:pPr>
      <w:r>
        <w:rPr>
          <w:rFonts w:ascii="Tahoma" w:cs="Tahoma" w:eastAsia="Tahoma" w:hAnsi="Tahoma"/>
          <w:b/>
          <w:bCs/>
          <w:color w:val="181818"/>
          <w:spacing w:val="80"/>
          <w:sz w:val="22"/>
          <w:szCs w:val="22"/>
        </w:rPr>
        <w:t xml:space="preserve">EXECUTIVE SUMMARY</w:t>
      </w:r>
    </w:p>
    <w:p>
      <w:pPr>
        <w:spacing w:after="70" w:line="260"/>
      </w:pPr>
      <w:r>
        <w:rPr>
          <w:rFonts w:ascii="Tahoma" w:cs="Tahoma" w:eastAsia="Tahoma" w:hAnsi="Tahoma"/>
          <w:color w:val="2D2D2D"/>
          <w:sz w:val="18"/>
          <w:szCs w:val="18"/>
        </w:rPr>
        <w:t xml:space="preserve">Lead Machine is a purpose-built outbound operations platform that removes friction from the sequencing process. Today, AEs are not in Apollo. BDRs don’t have enough pipeline activity. There is no systematic outbound email motion. Lead Machine solves all three problems by giving every seller — BDR, AE, and leadership — a single interface to discover contacts, generate personalized messaging, and enroll leads into Apollo sequences without ever touching Apollo directly.</w:t>
      </w:r>
    </w:p>
    <w:p>
      <w:pPr>
        <w:spacing w:after="70" w:line="260"/>
      </w:pPr>
      <w:r>
        <w:rPr>
          <w:rFonts w:ascii="Tahoma" w:cs="Tahoma" w:eastAsia="Tahoma" w:hAnsi="Tahoma"/>
          <w:color w:val="2D2D2D"/>
          <w:sz w:val="18"/>
          <w:szCs w:val="18"/>
        </w:rPr>
        <w:t xml:space="preserve">The platform ships with multiple tools: RepoRadar for technical intent scanning, LinkedIn Prospector for contact enrichment, a Campaigns engine for managing different outreach motions, ScoreCard for account qualification, and Grow for bulk pipeline import. The first 30 days focus on validating RepoRadar as the initial campaign. The second 30 days expand to additional campaigns — video localization, Phrase Studio outreach, customer expansion, competitive displacement — all running through the same sequencing infrastructure.</w:t>
      </w:r>
    </w:p>
    <w:p>
      <w:pPr>
        <w:spacing w:after="70" w:line="260"/>
      </w:pPr>
      <w:r>
        <w:rPr>
          <w:rFonts w:ascii="Tahoma" w:cs="Tahoma" w:eastAsia="Tahoma" w:hAnsi="Tahoma"/>
          <w:color w:val="2D2D2D"/>
          <w:sz w:val="18"/>
          <w:szCs w:val="18"/>
        </w:rPr>
        <w:t xml:space="preserve">The hypothesis is straightforward: intent-driven, AI-personalized outbound will convert at significantly higher rates than traditional outbound. If it does, Lead Machine becomes the operating system for outbound at Phrase.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03EAB3" w:sz="3"/>
              <w:left w:val="single" w:color="03EAB3" w:sz="3"/>
              <w:bottom w:val="single" w:color="03EAB3" w:sz="3"/>
              <w:right w:val="single" w:color="03EAB3" w:sz="3"/>
            </w:tcBorders>
            <w:shd w:fill="F0FDF9" w:val="clear"/>
            <w:tcMar>
              <w:top w:type="dxa" w:w="90"/>
              <w:left w:type="dxa" w:w="160"/>
              <w:bottom w:type="dxa" w:w="90"/>
              <w:right w:type="dxa" w:w="160"/>
            </w:tcMar>
          </w:tcPr>
          <w:p>
            <w:pPr>
              <w:spacing w:after="25"/>
            </w:pPr>
            <w:r>
              <w:rPr>
                <w:rFonts w:ascii="Tahoma" w:cs="Tahoma" w:eastAsia="Tahoma" w:hAnsi="Tahoma"/>
                <w:b/>
                <w:bCs/>
                <w:color w:val="181818"/>
                <w:sz w:val="18"/>
                <w:szCs w:val="18"/>
              </w:rPr>
              <w:t xml:space="preserve">THE GOAL</w:t>
            </w:r>
          </w:p>
          <w:p>
            <w:r>
              <w:rPr>
                <w:rFonts w:ascii="Tahoma" w:cs="Tahoma" w:eastAsia="Tahoma" w:hAnsi="Tahoma"/>
                <w:color w:val="2D2D2D"/>
                <w:sz w:val="17"/>
                <w:szCs w:val="17"/>
              </w:rPr>
              <w:t xml:space="preserve">1 qualified meeting per week from Lead Machine-sourced outbound. Validate that intent-based targeting converts at 3–5x the rate of traditional outbound, then scale the machine across the sales organization.</w:t>
            </w:r>
          </w:p>
        </w:tc>
      </w:tr>
    </w:tbl>
    <w:p>
      <w:pPr>
        <w:pBdr>
          <w:bottom w:val="single" w:color="03EAB3" w:sz="4" w:space="5"/>
        </w:pBdr>
        <w:spacing w:after="70" w:before="200"/>
      </w:pPr>
      <w:r>
        <w:rPr>
          <w:rFonts w:ascii="Tahoma" w:cs="Tahoma" w:eastAsia="Tahoma" w:hAnsi="Tahoma"/>
          <w:b/>
          <w:bCs/>
          <w:color w:val="181818"/>
          <w:spacing w:val="80"/>
          <w:sz w:val="22"/>
          <w:szCs w:val="22"/>
        </w:rPr>
        <w:t xml:space="preserve">THE PLATFORM</w:t>
      </w:r>
    </w:p>
    <w:p>
      <w:pPr>
        <w:spacing w:after="70" w:line="260"/>
      </w:pPr>
      <w:r>
        <w:rPr>
          <w:rFonts w:ascii="Tahoma" w:cs="Tahoma" w:eastAsia="Tahoma" w:hAnsi="Tahoma"/>
          <w:color w:val="2D2D2D"/>
          <w:sz w:val="18"/>
          <w:szCs w:val="18"/>
        </w:rPr>
        <w:t xml:space="preserve">Lead Machine is not a single tool. It is a platform with six modules that work together to move a lead from identification to enrolled sequence: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7840"/>
      </w:tblGrid>
      <w:tr>
        <w:tc>
          <w:tcPr>
            <w:tcW w:type="dxa" w:w="2000"/>
            <w:tcBorders>
              <w:top w:val="single" w:color="E5E7EB" w:sz="1"/>
              <w:left w:val="single" w:color="E5E7EB" w:sz="1"/>
              <w:bottom w:val="single" w:color="E5E7EB" w:sz="1"/>
              <w:right w:val="single" w:color="E5E7EB" w:sz="1"/>
            </w:tcBorders>
            <w:shd w:fill="181818" w:val="clear"/>
            <w:tcMar>
              <w:top w:type="dxa" w:w="50"/>
              <w:left w:type="dxa" w:w="85"/>
              <w:bottom w:type="dxa" w:w="50"/>
              <w:right w:type="dxa" w:w="85"/>
            </w:tcMar>
          </w:tcPr>
          <w:p>
            <w:r>
              <w:rPr>
                <w:rFonts w:ascii="Tahoma" w:cs="Tahoma" w:eastAsia="Tahoma" w:hAnsi="Tahoma"/>
                <w:b/>
                <w:bCs/>
                <w:color w:val="FFFFFF"/>
                <w:sz w:val="16"/>
                <w:szCs w:val="16"/>
              </w:rPr>
              <w:t xml:space="preserve">Module</w:t>
            </w:r>
          </w:p>
        </w:tc>
        <w:tc>
          <w:tcPr>
            <w:tcW w:type="dxa" w:w="7840"/>
            <w:tcBorders>
              <w:top w:val="single" w:color="E5E7EB" w:sz="1"/>
              <w:left w:val="single" w:color="E5E7EB" w:sz="1"/>
              <w:bottom w:val="single" w:color="E5E7EB" w:sz="1"/>
              <w:right w:val="single" w:color="E5E7EB" w:sz="1"/>
            </w:tcBorders>
            <w:shd w:fill="181818" w:val="clear"/>
            <w:tcMar>
              <w:top w:type="dxa" w:w="50"/>
              <w:left w:type="dxa" w:w="85"/>
              <w:bottom w:type="dxa" w:w="50"/>
              <w:right w:type="dxa" w:w="85"/>
            </w:tcMar>
          </w:tcPr>
          <w:p>
            <w:r>
              <w:rPr>
                <w:rFonts w:ascii="Tahoma" w:cs="Tahoma" w:eastAsia="Tahoma" w:hAnsi="Tahoma"/>
                <w:b/>
                <w:bCs/>
                <w:color w:val="FFFFFF"/>
                <w:sz w:val="16"/>
                <w:szCs w:val="16"/>
              </w:rPr>
              <w:t xml:space="preserve">What It Does</w:t>
            </w:r>
          </w:p>
        </w:tc>
      </w:tr>
      <w:tr>
        <w:tc>
          <w:tcPr>
            <w:tcW w:type="dxa" w:w="2000"/>
            <w:tcBorders>
              <w:top w:val="single" w:color="E5E7EB" w:sz="1"/>
              <w:left w:val="single" w:color="E5E7EB" w:sz="1"/>
              <w:bottom w:val="single" w:color="E5E7EB" w:sz="1"/>
              <w:right w:val="single" w:color="E5E7EB" w:sz="1"/>
            </w:tcBorders>
            <w:shd w:fill="F0FDF9" w:val="clear"/>
            <w:tcMar>
              <w:top w:type="dxa" w:w="50"/>
              <w:left w:type="dxa" w:w="85"/>
              <w:bottom w:type="dxa" w:w="50"/>
              <w:right w:type="dxa" w:w="85"/>
            </w:tcMar>
          </w:tcPr>
          <w:p>
            <w:r>
              <w:rPr>
                <w:rFonts w:ascii="Tahoma" w:cs="Tahoma" w:eastAsia="Tahoma" w:hAnsi="Tahoma"/>
                <w:b/>
                <w:bCs/>
                <w:color w:val="2D2D2D"/>
                <w:sz w:val="16"/>
                <w:szCs w:val="16"/>
              </w:rPr>
              <w:t xml:space="preserve">RepoRadar</w:t>
            </w:r>
          </w:p>
        </w:tc>
        <w:tc>
          <w:tcPr>
            <w:tcW w:type="dxa" w:w="7840"/>
            <w:tcBorders>
              <w:top w:val="single" w:color="E5E7EB" w:sz="1"/>
              <w:left w:val="single" w:color="E5E7EB" w:sz="1"/>
              <w:bottom w:val="single" w:color="E5E7EB" w:sz="1"/>
              <w:right w:val="single" w:color="E5E7EB" w:sz="1"/>
            </w:tcBorders>
            <w:shd w:fill="F0FDF9" w:val="clear"/>
            <w:tcMar>
              <w:top w:type="dxa" w:w="50"/>
              <w:left w:type="dxa" w:w="85"/>
              <w:bottom w:type="dxa" w:w="50"/>
              <w:right w:type="dxa" w:w="85"/>
            </w:tcMar>
          </w:tcPr>
          <w:p>
            <w:r>
              <w:rPr>
                <w:rFonts w:ascii="Tahoma" w:cs="Tahoma" w:eastAsia="Tahoma" w:hAnsi="Tahoma"/>
                <w:color w:val="2D2D2D"/>
                <w:sz w:val="16"/>
                <w:szCs w:val="16"/>
              </w:rPr>
              <w:t xml:space="preserve">Scans public GitHub organizations for i18n intent signals (library installs, RFC discussions, active localization work). Scores accounts with a Bayesian engine and surfaces high-intent prospects.</w:t>
            </w:r>
          </w:p>
        </w:tc>
      </w:tr>
      <w:tr>
        <w:tc>
          <w:tcPr>
            <w:tcW w:type="dxa" w:w="2000"/>
            <w:tcBorders>
              <w:top w:val="single" w:color="E5E7EB" w:sz="1"/>
              <w:left w:val="single" w:color="E5E7EB" w:sz="1"/>
              <w:bottom w:val="single" w:color="E5E7EB" w:sz="1"/>
              <w:right w:val="single" w:color="E5E7EB" w:sz="1"/>
            </w:tcBorders>
            <w:shd w:fill="FFFFFF" w:val="clear"/>
            <w:tcMar>
              <w:top w:type="dxa" w:w="50"/>
              <w:left w:type="dxa" w:w="85"/>
              <w:bottom w:type="dxa" w:w="50"/>
              <w:right w:type="dxa" w:w="85"/>
            </w:tcMar>
          </w:tcPr>
          <w:p>
            <w:r>
              <w:rPr>
                <w:rFonts w:ascii="Tahoma" w:cs="Tahoma" w:eastAsia="Tahoma" w:hAnsi="Tahoma"/>
                <w:b/>
                <w:bCs/>
                <w:color w:val="2D2D2D"/>
                <w:sz w:val="16"/>
                <w:szCs w:val="16"/>
              </w:rPr>
              <w:t xml:space="preserve">LinkedIn Prospector</w:t>
            </w:r>
          </w:p>
        </w:tc>
        <w:tc>
          <w:tcPr>
            <w:tcW w:type="dxa" w:w="7840"/>
            <w:tcBorders>
              <w:top w:val="single" w:color="E5E7EB" w:sz="1"/>
              <w:left w:val="single" w:color="E5E7EB" w:sz="1"/>
              <w:bottom w:val="single" w:color="E5E7EB" w:sz="1"/>
              <w:right w:val="single" w:color="E5E7EB" w:sz="1"/>
            </w:tcBorders>
            <w:shd w:fill="FFFFFF" w:val="clear"/>
            <w:tcMar>
              <w:top w:type="dxa" w:w="50"/>
              <w:left w:type="dxa" w:w="85"/>
              <w:bottom w:type="dxa" w:w="50"/>
              <w:right w:type="dxa" w:w="85"/>
            </w:tcMar>
          </w:tcPr>
          <w:p>
            <w:r>
              <w:rPr>
                <w:rFonts w:ascii="Tahoma" w:cs="Tahoma" w:eastAsia="Tahoma" w:hAnsi="Tahoma"/>
                <w:color w:val="2D2D2D"/>
                <w:sz w:val="16"/>
                <w:szCs w:val="16"/>
              </w:rPr>
              <w:t xml:space="preserve">Upload a LinkedIn screenshot or paste a URL. AI extracts the contact, searches Apollo for verified email, and makes them enrollable in one click.</w:t>
            </w:r>
          </w:p>
        </w:tc>
      </w:tr>
      <w:tr>
        <w:tc>
          <w:tcPr>
            <w:tcW w:type="dxa" w:w="2000"/>
            <w:tcBorders>
              <w:top w:val="single" w:color="E5E7EB" w:sz="1"/>
              <w:left w:val="single" w:color="E5E7EB" w:sz="1"/>
              <w:bottom w:val="single" w:color="E5E7EB" w:sz="1"/>
              <w:right w:val="single" w:color="E5E7EB" w:sz="1"/>
            </w:tcBorders>
            <w:shd w:fill="F0FDF9" w:val="clear"/>
            <w:tcMar>
              <w:top w:type="dxa" w:w="50"/>
              <w:left w:type="dxa" w:w="85"/>
              <w:bottom w:type="dxa" w:w="50"/>
              <w:right w:type="dxa" w:w="85"/>
            </w:tcMar>
          </w:tcPr>
          <w:p>
            <w:r>
              <w:rPr>
                <w:rFonts w:ascii="Tahoma" w:cs="Tahoma" w:eastAsia="Tahoma" w:hAnsi="Tahoma"/>
                <w:b/>
                <w:bCs/>
                <w:color w:val="2D2D2D"/>
                <w:sz w:val="16"/>
                <w:szCs w:val="16"/>
              </w:rPr>
              <w:t xml:space="preserve">Campaigns</w:t>
            </w:r>
          </w:p>
        </w:tc>
        <w:tc>
          <w:tcPr>
            <w:tcW w:type="dxa" w:w="7840"/>
            <w:tcBorders>
              <w:top w:val="single" w:color="E5E7EB" w:sz="1"/>
              <w:left w:val="single" w:color="E5E7EB" w:sz="1"/>
              <w:bottom w:val="single" w:color="E5E7EB" w:sz="1"/>
              <w:right w:val="single" w:color="E5E7EB" w:sz="1"/>
            </w:tcBorders>
            <w:shd w:fill="F0FDF9" w:val="clear"/>
            <w:tcMar>
              <w:top w:type="dxa" w:w="50"/>
              <w:left w:type="dxa" w:w="85"/>
              <w:bottom w:type="dxa" w:w="50"/>
              <w:right w:type="dxa" w:w="85"/>
            </w:tcMar>
          </w:tcPr>
          <w:p>
            <w:r>
              <w:rPr>
                <w:rFonts w:ascii="Tahoma" w:cs="Tahoma" w:eastAsia="Tahoma" w:hAnsi="Tahoma"/>
                <w:color w:val="2D2D2D"/>
                <w:sz w:val="16"/>
                <w:szCs w:val="16"/>
              </w:rPr>
              <w:t xml:space="preserve">Each campaign defines an outreach motion: its own AI prompt, persona targets, tone, and sequence mapping. RepoRadar is Campaign #1. Future campaigns include video localization, Phrase Studio, customer expansion.</w:t>
            </w:r>
          </w:p>
        </w:tc>
      </w:tr>
      <w:tr>
        <w:tc>
          <w:tcPr>
            <w:tcW w:type="dxa" w:w="2000"/>
            <w:tcBorders>
              <w:top w:val="single" w:color="E5E7EB" w:sz="1"/>
              <w:left w:val="single" w:color="E5E7EB" w:sz="1"/>
              <w:bottom w:val="single" w:color="E5E7EB" w:sz="1"/>
              <w:right w:val="single" w:color="E5E7EB" w:sz="1"/>
            </w:tcBorders>
            <w:shd w:fill="FFFFFF" w:val="clear"/>
            <w:tcMar>
              <w:top w:type="dxa" w:w="50"/>
              <w:left w:type="dxa" w:w="85"/>
              <w:bottom w:type="dxa" w:w="50"/>
              <w:right w:type="dxa" w:w="85"/>
            </w:tcMar>
          </w:tcPr>
          <w:p>
            <w:r>
              <w:rPr>
                <w:rFonts w:ascii="Tahoma" w:cs="Tahoma" w:eastAsia="Tahoma" w:hAnsi="Tahoma"/>
                <w:b/>
                <w:bCs/>
                <w:color w:val="2D2D2D"/>
                <w:sz w:val="16"/>
                <w:szCs w:val="16"/>
              </w:rPr>
              <w:t xml:space="preserve">ScoreCard</w:t>
            </w:r>
          </w:p>
        </w:tc>
        <w:tc>
          <w:tcPr>
            <w:tcW w:type="dxa" w:w="7840"/>
            <w:tcBorders>
              <w:top w:val="single" w:color="E5E7EB" w:sz="1"/>
              <w:left w:val="single" w:color="E5E7EB" w:sz="1"/>
              <w:bottom w:val="single" w:color="E5E7EB" w:sz="1"/>
              <w:right w:val="single" w:color="E5E7EB" w:sz="1"/>
            </w:tcBorders>
            <w:shd w:fill="FFFFFF" w:val="clear"/>
            <w:tcMar>
              <w:top w:type="dxa" w:w="50"/>
              <w:left w:type="dxa" w:w="85"/>
              <w:bottom w:type="dxa" w:w="50"/>
              <w:right w:type="dxa" w:w="85"/>
            </w:tcMar>
          </w:tcPr>
          <w:p>
            <w:r>
              <w:rPr>
                <w:rFonts w:ascii="Tahoma" w:cs="Tahoma" w:eastAsia="Tahoma" w:hAnsi="Tahoma"/>
                <w:color w:val="2D2D2D"/>
                <w:sz w:val="16"/>
                <w:szCs w:val="16"/>
              </w:rPr>
              <w:t xml:space="preserve">Scores and qualifies accounts based on languages detected, existing systems, revenue, and bonus signals. Helps prioritize which accounts to sequence first.</w:t>
            </w:r>
          </w:p>
        </w:tc>
      </w:tr>
      <w:tr>
        <w:tc>
          <w:tcPr>
            <w:tcW w:type="dxa" w:w="2000"/>
            <w:tcBorders>
              <w:top w:val="single" w:color="E5E7EB" w:sz="1"/>
              <w:left w:val="single" w:color="E5E7EB" w:sz="1"/>
              <w:bottom w:val="single" w:color="E5E7EB" w:sz="1"/>
              <w:right w:val="single" w:color="E5E7EB" w:sz="1"/>
            </w:tcBorders>
            <w:shd w:fill="F0FDF9" w:val="clear"/>
            <w:tcMar>
              <w:top w:type="dxa" w:w="50"/>
              <w:left w:type="dxa" w:w="85"/>
              <w:bottom w:type="dxa" w:w="50"/>
              <w:right w:type="dxa" w:w="85"/>
            </w:tcMar>
          </w:tcPr>
          <w:p>
            <w:r>
              <w:rPr>
                <w:rFonts w:ascii="Tahoma" w:cs="Tahoma" w:eastAsia="Tahoma" w:hAnsi="Tahoma"/>
                <w:b/>
                <w:bCs/>
                <w:color w:val="2D2D2D"/>
                <w:sz w:val="16"/>
                <w:szCs w:val="16"/>
              </w:rPr>
              <w:t xml:space="preserve">Grow</w:t>
            </w:r>
          </w:p>
        </w:tc>
        <w:tc>
          <w:tcPr>
            <w:tcW w:type="dxa" w:w="7840"/>
            <w:tcBorders>
              <w:top w:val="single" w:color="E5E7EB" w:sz="1"/>
              <w:left w:val="single" w:color="E5E7EB" w:sz="1"/>
              <w:bottom w:val="single" w:color="E5E7EB" w:sz="1"/>
              <w:right w:val="single" w:color="E5E7EB" w:sz="1"/>
            </w:tcBorders>
            <w:shd w:fill="F0FDF9" w:val="clear"/>
            <w:tcMar>
              <w:top w:type="dxa" w:w="50"/>
              <w:left w:type="dxa" w:w="85"/>
              <w:bottom w:type="dxa" w:w="50"/>
              <w:right w:type="dxa" w:w="85"/>
            </w:tcMar>
          </w:tcPr>
          <w:p>
            <w:r>
              <w:rPr>
                <w:rFonts w:ascii="Tahoma" w:cs="Tahoma" w:eastAsia="Tahoma" w:hAnsi="Tahoma"/>
                <w:color w:val="2D2D2D"/>
                <w:sz w:val="16"/>
                <w:szCs w:val="16"/>
              </w:rPr>
              <w:t xml:space="preserve">Bulk import via CSV or Google Sheets. Rapidly fills the top of funnel with target accounts that can be scored and enrolled into campaigns.</w:t>
            </w:r>
          </w:p>
        </w:tc>
      </w:tr>
      <w:tr>
        <w:tc>
          <w:tcPr>
            <w:tcW w:type="dxa" w:w="2000"/>
            <w:tcBorders>
              <w:top w:val="single" w:color="E5E7EB" w:sz="1"/>
              <w:left w:val="single" w:color="E5E7EB" w:sz="1"/>
              <w:bottom w:val="single" w:color="E5E7EB" w:sz="1"/>
              <w:right w:val="single" w:color="E5E7EB" w:sz="1"/>
            </w:tcBorders>
            <w:shd w:fill="FFFFFF" w:val="clear"/>
            <w:tcMar>
              <w:top w:type="dxa" w:w="50"/>
              <w:left w:type="dxa" w:w="85"/>
              <w:bottom w:type="dxa" w:w="50"/>
              <w:right w:type="dxa" w:w="85"/>
            </w:tcMar>
          </w:tcPr>
          <w:p>
            <w:r>
              <w:rPr>
                <w:rFonts w:ascii="Tahoma" w:cs="Tahoma" w:eastAsia="Tahoma" w:hAnsi="Tahoma"/>
                <w:b/>
                <w:bCs/>
                <w:color w:val="2D2D2D"/>
                <w:sz w:val="16"/>
                <w:szCs w:val="16"/>
              </w:rPr>
              <w:t xml:space="preserve">Enrollment</w:t>
            </w:r>
          </w:p>
        </w:tc>
        <w:tc>
          <w:tcPr>
            <w:tcW w:type="dxa" w:w="7840"/>
            <w:tcBorders>
              <w:top w:val="single" w:color="E5E7EB" w:sz="1"/>
              <w:left w:val="single" w:color="E5E7EB" w:sz="1"/>
              <w:bottom w:val="single" w:color="E5E7EB" w:sz="1"/>
              <w:right w:val="single" w:color="E5E7EB" w:sz="1"/>
            </w:tcBorders>
            <w:shd w:fill="FFFFFF" w:val="clear"/>
            <w:tcMar>
              <w:top w:type="dxa" w:w="50"/>
              <w:left w:type="dxa" w:w="85"/>
              <w:bottom w:type="dxa" w:w="50"/>
              <w:right w:type="dxa" w:w="85"/>
            </w:tcMar>
          </w:tcPr>
          <w:p>
            <w:r>
              <w:rPr>
                <w:rFonts w:ascii="Tahoma" w:cs="Tahoma" w:eastAsia="Tahoma" w:hAnsi="Tahoma"/>
                <w:color w:val="2D2D2D"/>
                <w:sz w:val="16"/>
                <w:szCs w:val="16"/>
              </w:rPr>
              <w:t xml:space="preserve">4-step wizard: select campaign and accounts → discover contacts via Apollo → AI-generate personalized emails → enroll into sequences with custom fields injected. AEs and BDRs never open Apollo.</w:t>
            </w:r>
          </w:p>
        </w:tc>
      </w:tr>
    </w:tbl>
    <w:p>
      <w:pPr>
        <w:spacing w:after="40"/>
      </w:pPr>
    </w:p>
    <w:p>
      <w:pPr>
        <w:spacing w:after="70" w:line="260"/>
      </w:pPr>
      <w:r>
        <w:rPr>
          <w:rFonts w:ascii="Tahoma" w:cs="Tahoma" w:eastAsia="Tahoma" w:hAnsi="Tahoma"/>
          <w:color w:val="2D2D2D"/>
          <w:sz w:val="18"/>
          <w:szCs w:val="18"/>
        </w:rPr>
        <w:t xml:space="preserve">All personalized content is injected into Apollo custom fields at the contact level before enrollment. This means a single Apollo sequence template can serve any campaign — the messaging changes per contact based on which campaign generated it. This is what makes the approach scalable: one infrastructure, many outreach motions.</w:t>
      </w:r>
    </w:p>
    <w:p>
      <w:pPr>
        <w:pBdr>
          <w:bottom w:val="single" w:color="03EAB3" w:sz="4" w:space="5"/>
        </w:pBdr>
        <w:spacing w:after="70" w:before="200"/>
      </w:pPr>
      <w:r>
        <w:rPr>
          <w:rFonts w:ascii="Tahoma" w:cs="Tahoma" w:eastAsia="Tahoma" w:hAnsi="Tahoma"/>
          <w:b/>
          <w:bCs/>
          <w:color w:val="181818"/>
          <w:spacing w:val="80"/>
          <w:sz w:val="22"/>
          <w:szCs w:val="22"/>
        </w:rPr>
        <w:t xml:space="preserve">WHY THIS MATTERS</w:t>
      </w:r>
    </w:p>
    <w:p>
      <w:pPr>
        <w:spacing w:after="70" w:line="260"/>
      </w:pPr>
      <w:r>
        <w:rPr>
          <w:rFonts w:ascii="Tahoma" w:cs="Tahoma" w:eastAsia="Tahoma" w:hAnsi="Tahoma"/>
          <w:color w:val="2D2D2D"/>
          <w:sz w:val="18"/>
          <w:szCs w:val="18"/>
        </w:rPr>
        <w:t xml:space="preserve">Traditional outbound at Phrase today means: BDRs manually researching accounts, AEs staying out of sequencing entirely because Apollo is too complex, and no programmatic way to personalize at scale. The result is low outbound volume, low reply rates, and no accountability on outbound pipeline.</w:t>
      </w:r>
    </w:p>
    <w:p>
      <w:pPr>
        <w:spacing w:after="70" w:line="260"/>
      </w:pPr>
      <w:r>
        <w:rPr>
          <w:rFonts w:ascii="Tahoma" w:cs="Tahoma" w:eastAsia="Tahoma" w:hAnsi="Tahoma"/>
          <w:color w:val="2D2D2D"/>
          <w:sz w:val="18"/>
          <w:szCs w:val="18"/>
        </w:rPr>
        <w:t xml:space="preserve">Lead Machine changes the operating model. Research is automated. Personalization is AI-generated. Sequencing happens through a guided wizard that anyone can use. The platform tracks every lead from identification to enrollment, providing full visibility into outbound activity and conversion rates — something that does not exist today.</w:t>
      </w:r>
    </w:p>
    <w:p>
      <w:pPr>
        <w:pBdr>
          <w:bottom w:val="single" w:color="03EAB3" w:sz="4" w:space="5"/>
        </w:pBdr>
        <w:spacing w:after="70" w:before="200"/>
      </w:pPr>
      <w:r>
        <w:rPr>
          <w:rFonts w:ascii="Tahoma" w:cs="Tahoma" w:eastAsia="Tahoma" w:hAnsi="Tahoma"/>
          <w:b/>
          <w:bCs/>
          <w:color w:val="181818"/>
          <w:spacing w:val="80"/>
          <w:sz w:val="22"/>
          <w:szCs w:val="22"/>
        </w:rPr>
        <w:t xml:space="preserve">REPORADAR: CAMPAIGN #1</w:t>
      </w:r>
    </w:p>
    <w:p>
      <w:pPr>
        <w:spacing w:after="70" w:line="260"/>
      </w:pPr>
      <w:r>
        <w:rPr>
          <w:rFonts w:ascii="Tahoma" w:cs="Tahoma" w:eastAsia="Tahoma" w:hAnsi="Tahoma"/>
          <w:color w:val="2D2D2D"/>
          <w:sz w:val="18"/>
          <w:szCs w:val="18"/>
        </w:rPr>
        <w:t xml:space="preserve">RepoRadar is the first campaign to validate the platform. It scans GitHub organizations for three intent signals: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100"/>
        <w:gridCol w:w="1400"/>
        <w:gridCol w:w="6340"/>
      </w:tblGrid>
      <w:tr>
        <w:tc>
          <w:tcPr>
            <w:tcW w:type="dxa" w:w="2100"/>
            <w:tcBorders>
              <w:top w:val="single" w:color="E5E7EB" w:sz="1"/>
              <w:left w:val="single" w:color="E5E7EB" w:sz="1"/>
              <w:bottom w:val="single" w:color="E5E7EB" w:sz="1"/>
              <w:right w:val="single" w:color="E5E7EB" w:sz="1"/>
            </w:tcBorders>
            <w:shd w:fill="181818" w:val="clear"/>
            <w:tcMar>
              <w:top w:type="dxa" w:w="50"/>
              <w:left w:type="dxa" w:w="85"/>
              <w:bottom w:type="dxa" w:w="50"/>
              <w:right w:type="dxa" w:w="85"/>
            </w:tcMar>
          </w:tcPr>
          <w:p>
            <w:r>
              <w:rPr>
                <w:rFonts w:ascii="Tahoma" w:cs="Tahoma" w:eastAsia="Tahoma" w:hAnsi="Tahoma"/>
                <w:b/>
                <w:bCs/>
                <w:color w:val="FFFFFF"/>
                <w:sz w:val="16"/>
                <w:szCs w:val="16"/>
              </w:rPr>
              <w:t xml:space="preserve">Signal</w:t>
            </w:r>
          </w:p>
        </w:tc>
        <w:tc>
          <w:tcPr>
            <w:tcW w:type="dxa" w:w="1400"/>
            <w:tcBorders>
              <w:top w:val="single" w:color="E5E7EB" w:sz="1"/>
              <w:left w:val="single" w:color="E5E7EB" w:sz="1"/>
              <w:bottom w:val="single" w:color="E5E7EB" w:sz="1"/>
              <w:right w:val="single" w:color="E5E7EB" w:sz="1"/>
            </w:tcBorders>
            <w:shd w:fill="181818" w:val="clear"/>
            <w:tcMar>
              <w:top w:type="dxa" w:w="50"/>
              <w:left w:type="dxa" w:w="85"/>
              <w:bottom w:type="dxa" w:w="50"/>
              <w:right w:type="dxa" w:w="85"/>
            </w:tcMar>
          </w:tcPr>
          <w:p>
            <w:r>
              <w:rPr>
                <w:rFonts w:ascii="Tahoma" w:cs="Tahoma" w:eastAsia="Tahoma" w:hAnsi="Tahoma"/>
                <w:b/>
                <w:bCs/>
                <w:color w:val="FFFFFF"/>
                <w:sz w:val="16"/>
                <w:szCs w:val="16"/>
              </w:rPr>
              <w:t xml:space="preserve">Phase</w:t>
            </w:r>
          </w:p>
        </w:tc>
        <w:tc>
          <w:tcPr>
            <w:tcW w:type="dxa" w:w="6340"/>
            <w:tcBorders>
              <w:top w:val="single" w:color="E5E7EB" w:sz="1"/>
              <w:left w:val="single" w:color="E5E7EB" w:sz="1"/>
              <w:bottom w:val="single" w:color="E5E7EB" w:sz="1"/>
              <w:right w:val="single" w:color="E5E7EB" w:sz="1"/>
            </w:tcBorders>
            <w:shd w:fill="181818" w:val="clear"/>
            <w:tcMar>
              <w:top w:type="dxa" w:w="50"/>
              <w:left w:type="dxa" w:w="85"/>
              <w:bottom w:type="dxa" w:w="50"/>
              <w:right w:type="dxa" w:w="85"/>
            </w:tcMar>
          </w:tcPr>
          <w:p>
            <w:r>
              <w:rPr>
                <w:rFonts w:ascii="Tahoma" w:cs="Tahoma" w:eastAsia="Tahoma" w:hAnsi="Tahoma"/>
                <w:b/>
                <w:bCs/>
                <w:color w:val="FFFFFF"/>
                <w:sz w:val="16"/>
                <w:szCs w:val="16"/>
              </w:rPr>
              <w:t xml:space="preserve">What It Means</w:t>
            </w:r>
          </w:p>
        </w:tc>
      </w:tr>
      <w:tr>
        <w:tc>
          <w:tcPr>
            <w:tcW w:type="dxa" w:w="2100"/>
            <w:tcBorders>
              <w:top w:val="single" w:color="E5E7EB" w:sz="1"/>
              <w:left w:val="single" w:color="E5E7EB" w:sz="1"/>
              <w:bottom w:val="single" w:color="E5E7EB" w:sz="1"/>
              <w:right w:val="single" w:color="E5E7EB" w:sz="1"/>
            </w:tcBorders>
            <w:shd w:fill="FFFFFF" w:val="clear"/>
            <w:tcMar>
              <w:top w:type="dxa" w:w="50"/>
              <w:left w:type="dxa" w:w="85"/>
              <w:bottom w:type="dxa" w:w="50"/>
              <w:right w:type="dxa" w:w="85"/>
            </w:tcMar>
          </w:tcPr>
          <w:p>
            <w:r>
              <w:rPr>
                <w:rFonts w:ascii="Tahoma" w:cs="Tahoma" w:eastAsia="Tahoma" w:hAnsi="Tahoma"/>
                <w:b/>
                <w:bCs/>
                <w:color w:val="2D2D2D"/>
                <w:sz w:val="16"/>
                <w:szCs w:val="16"/>
              </w:rPr>
              <w:t xml:space="preserve">RFC &amp; Discussion</w:t>
            </w:r>
          </w:p>
        </w:tc>
        <w:tc>
          <w:tcPr>
            <w:tcW w:type="dxa" w:w="1400"/>
            <w:tcBorders>
              <w:top w:val="single" w:color="E5E7EB" w:sz="1"/>
              <w:left w:val="single" w:color="E5E7EB" w:sz="1"/>
              <w:bottom w:val="single" w:color="E5E7EB" w:sz="1"/>
              <w:right w:val="single" w:color="E5E7EB" w:sz="1"/>
            </w:tcBorders>
            <w:shd w:fill="FFFFFF" w:val="clear"/>
            <w:tcMar>
              <w:top w:type="dxa" w:w="50"/>
              <w:left w:type="dxa" w:w="85"/>
              <w:bottom w:type="dxa" w:w="50"/>
              <w:right w:type="dxa" w:w="85"/>
            </w:tcMar>
          </w:tcPr>
          <w:p>
            <w:r>
              <w:rPr>
                <w:rFonts w:ascii="Tahoma" w:cs="Tahoma" w:eastAsia="Tahoma" w:hAnsi="Tahoma"/>
                <w:color w:val="2D2D2D"/>
                <w:sz w:val="16"/>
                <w:szCs w:val="16"/>
              </w:rPr>
              <w:t xml:space="preserve">Thinking</w:t>
            </w:r>
          </w:p>
        </w:tc>
        <w:tc>
          <w:tcPr>
            <w:tcW w:type="dxa" w:w="6340"/>
            <w:tcBorders>
              <w:top w:val="single" w:color="E5E7EB" w:sz="1"/>
              <w:left w:val="single" w:color="E5E7EB" w:sz="1"/>
              <w:bottom w:val="single" w:color="E5E7EB" w:sz="1"/>
              <w:right w:val="single" w:color="E5E7EB" w:sz="1"/>
            </w:tcBorders>
            <w:shd w:fill="FFFFFF" w:val="clear"/>
            <w:tcMar>
              <w:top w:type="dxa" w:w="50"/>
              <w:left w:type="dxa" w:w="85"/>
              <w:bottom w:type="dxa" w:w="50"/>
              <w:right w:type="dxa" w:w="85"/>
            </w:tcMar>
          </w:tcPr>
          <w:p>
            <w:r>
              <w:rPr>
                <w:rFonts w:ascii="Tahoma" w:cs="Tahoma" w:eastAsia="Tahoma" w:hAnsi="Tahoma"/>
                <w:color w:val="2D2D2D"/>
                <w:sz w:val="16"/>
                <w:szCs w:val="16"/>
              </w:rPr>
              <w:t xml:space="preserve">Team is discussing i18n in GitHub Issues, PRs, or roadmap docs. Early intent — nurture play.</w:t>
            </w:r>
          </w:p>
        </w:tc>
      </w:tr>
      <w:tr>
        <w:tc>
          <w:tcPr>
            <w:tcW w:type="dxa" w:w="2100"/>
            <w:tcBorders>
              <w:top w:val="single" w:color="E5E7EB" w:sz="1"/>
              <w:left w:val="single" w:color="E5E7EB" w:sz="1"/>
              <w:bottom w:val="single" w:color="E5E7EB" w:sz="1"/>
              <w:right w:val="single" w:color="E5E7EB" w:sz="1"/>
            </w:tcBorders>
            <w:shd w:fill="F0FDF9" w:val="clear"/>
            <w:tcMar>
              <w:top w:type="dxa" w:w="50"/>
              <w:left w:type="dxa" w:w="85"/>
              <w:bottom w:type="dxa" w:w="50"/>
              <w:right w:type="dxa" w:w="85"/>
            </w:tcMar>
          </w:tcPr>
          <w:p>
            <w:r>
              <w:rPr>
                <w:rFonts w:ascii="Tahoma" w:cs="Tahoma" w:eastAsia="Tahoma" w:hAnsi="Tahoma"/>
                <w:b/>
                <w:bCs/>
                <w:color w:val="2D2D2D"/>
                <w:sz w:val="16"/>
                <w:szCs w:val="16"/>
              </w:rPr>
              <w:t xml:space="preserve">Dependency Injection</w:t>
            </w:r>
          </w:p>
        </w:tc>
        <w:tc>
          <w:tcPr>
            <w:tcW w:type="dxa" w:w="1400"/>
            <w:tcBorders>
              <w:top w:val="single" w:color="E5E7EB" w:sz="1"/>
              <w:left w:val="single" w:color="E5E7EB" w:sz="1"/>
              <w:bottom w:val="single" w:color="E5E7EB" w:sz="1"/>
              <w:right w:val="single" w:color="E5E7EB" w:sz="1"/>
            </w:tcBorders>
            <w:shd w:fill="F0FDF9" w:val="clear"/>
            <w:tcMar>
              <w:top w:type="dxa" w:w="50"/>
              <w:left w:type="dxa" w:w="85"/>
              <w:bottom w:type="dxa" w:w="50"/>
              <w:right w:type="dxa" w:w="85"/>
            </w:tcMar>
          </w:tcPr>
          <w:p>
            <w:r>
              <w:rPr>
                <w:rFonts w:ascii="Tahoma" w:cs="Tahoma" w:eastAsia="Tahoma" w:hAnsi="Tahoma"/>
                <w:color w:val="2D2D2D"/>
                <w:sz w:val="16"/>
                <w:szCs w:val="16"/>
              </w:rPr>
              <w:t xml:space="preserve">Preparing</w:t>
            </w:r>
          </w:p>
        </w:tc>
        <w:tc>
          <w:tcPr>
            <w:tcW w:type="dxa" w:w="6340"/>
            <w:tcBorders>
              <w:top w:val="single" w:color="E5E7EB" w:sz="1"/>
              <w:left w:val="single" w:color="E5E7EB" w:sz="1"/>
              <w:bottom w:val="single" w:color="E5E7EB" w:sz="1"/>
              <w:right w:val="single" w:color="E5E7EB" w:sz="1"/>
            </w:tcBorders>
            <w:shd w:fill="F0FDF9" w:val="clear"/>
            <w:tcMar>
              <w:top w:type="dxa" w:w="50"/>
              <w:left w:type="dxa" w:w="85"/>
              <w:bottom w:type="dxa" w:w="50"/>
              <w:right w:type="dxa" w:w="85"/>
            </w:tcMar>
          </w:tcPr>
          <w:p>
            <w:r>
              <w:rPr>
                <w:rFonts w:ascii="Tahoma" w:cs="Tahoma" w:eastAsia="Tahoma" w:hAnsi="Tahoma"/>
                <w:color w:val="2D2D2D"/>
                <w:sz w:val="16"/>
                <w:szCs w:val="16"/>
              </w:rPr>
              <w:t xml:space="preserve">i18n libraries installed but no locale files exist. Goldilocks Zone — ideal intervention point.</w:t>
            </w:r>
          </w:p>
        </w:tc>
      </w:tr>
      <w:tr>
        <w:tc>
          <w:tcPr>
            <w:tcW w:type="dxa" w:w="2100"/>
            <w:tcBorders>
              <w:top w:val="single" w:color="E5E7EB" w:sz="1"/>
              <w:left w:val="single" w:color="E5E7EB" w:sz="1"/>
              <w:bottom w:val="single" w:color="E5E7EB" w:sz="1"/>
              <w:right w:val="single" w:color="E5E7EB" w:sz="1"/>
            </w:tcBorders>
            <w:shd w:fill="FFFFFF" w:val="clear"/>
            <w:tcMar>
              <w:top w:type="dxa" w:w="50"/>
              <w:left w:type="dxa" w:w="85"/>
              <w:bottom w:type="dxa" w:w="50"/>
              <w:right w:type="dxa" w:w="85"/>
            </w:tcMar>
          </w:tcPr>
          <w:p>
            <w:r>
              <w:rPr>
                <w:rFonts w:ascii="Tahoma" w:cs="Tahoma" w:eastAsia="Tahoma" w:hAnsi="Tahoma"/>
                <w:b/>
                <w:bCs/>
                <w:color w:val="2D2D2D"/>
                <w:sz w:val="16"/>
                <w:szCs w:val="16"/>
              </w:rPr>
              <w:t xml:space="preserve">Active Localization</w:t>
            </w:r>
          </w:p>
        </w:tc>
        <w:tc>
          <w:tcPr>
            <w:tcW w:type="dxa" w:w="1400"/>
            <w:tcBorders>
              <w:top w:val="single" w:color="E5E7EB" w:sz="1"/>
              <w:left w:val="single" w:color="E5E7EB" w:sz="1"/>
              <w:bottom w:val="single" w:color="E5E7EB" w:sz="1"/>
              <w:right w:val="single" w:color="E5E7EB" w:sz="1"/>
            </w:tcBorders>
            <w:shd w:fill="FFFFFF" w:val="clear"/>
            <w:tcMar>
              <w:top w:type="dxa" w:w="50"/>
              <w:left w:type="dxa" w:w="85"/>
              <w:bottom w:type="dxa" w:w="50"/>
              <w:right w:type="dxa" w:w="85"/>
            </w:tcMar>
          </w:tcPr>
          <w:p>
            <w:r>
              <w:rPr>
                <w:rFonts w:ascii="Tahoma" w:cs="Tahoma" w:eastAsia="Tahoma" w:hAnsi="Tahoma"/>
                <w:color w:val="2D2D2D"/>
                <w:sz w:val="16"/>
                <w:szCs w:val="16"/>
              </w:rPr>
              <w:t xml:space="preserve">Live</w:t>
            </w:r>
          </w:p>
        </w:tc>
        <w:tc>
          <w:tcPr>
            <w:tcW w:type="dxa" w:w="6340"/>
            <w:tcBorders>
              <w:top w:val="single" w:color="E5E7EB" w:sz="1"/>
              <w:left w:val="single" w:color="E5E7EB" w:sz="1"/>
              <w:bottom w:val="single" w:color="E5E7EB" w:sz="1"/>
              <w:right w:val="single" w:color="E5E7EB" w:sz="1"/>
            </w:tcBorders>
            <w:shd w:fill="FFFFFF" w:val="clear"/>
            <w:tcMar>
              <w:top w:type="dxa" w:w="50"/>
              <w:left w:type="dxa" w:w="85"/>
              <w:bottom w:type="dxa" w:w="50"/>
              <w:right w:type="dxa" w:w="85"/>
            </w:tcMar>
          </w:tcPr>
          <w:p>
            <w:r>
              <w:rPr>
                <w:rFonts w:ascii="Tahoma" w:cs="Tahoma" w:eastAsia="Tahoma" w:hAnsi="Tahoma"/>
                <w:color w:val="2D2D2D"/>
                <w:sz w:val="16"/>
                <w:szCs w:val="16"/>
              </w:rPr>
              <w:t xml:space="preserve">Company already has localization in production. Requires a different motion — competitive displacement, expansion, or upgrade play.</w:t>
            </w:r>
          </w:p>
        </w:tc>
      </w:tr>
    </w:tbl>
    <w:p>
      <w:pPr>
        <w:spacing w:after="30"/>
      </w:pPr>
    </w:p>
    <w:p>
      <w:pPr>
        <w:spacing w:after="70" w:line="260"/>
      </w:pPr>
      <w:r>
        <w:rPr>
          <w:rFonts w:ascii="Tahoma" w:cs="Tahoma" w:eastAsia="Tahoma" w:hAnsi="Tahoma"/>
          <w:color w:val="2D2D2D"/>
          <w:sz w:val="18"/>
          <w:szCs w:val="18"/>
        </w:rPr>
        <w:t xml:space="preserve">Each signal feeds through a Bayesian scoring engine that assigns a lead tier. The pipeline then auto-discovers contacts, generates AI-personalized email content, and enrolls them into Apollo sequences. The number of touches and sequence structure are configured per campaign.</w:t>
      </w:r>
    </w:p>
    <w:p>
      <w:r>
        <w:br w:type="page"/>
      </w:r>
    </w:p>
    <w:p>
      <w:pPr>
        <w:pBdr>
          <w:bottom w:val="single" w:color="03EAB3" w:sz="4" w:space="5"/>
        </w:pBdr>
        <w:spacing w:after="70" w:before="200"/>
      </w:pPr>
      <w:r>
        <w:rPr>
          <w:rFonts w:ascii="Tahoma" w:cs="Tahoma" w:eastAsia="Tahoma" w:hAnsi="Tahoma"/>
          <w:b/>
          <w:bCs/>
          <w:color w:val="181818"/>
          <w:spacing w:val="80"/>
          <w:sz w:val="22"/>
          <w:szCs w:val="22"/>
        </w:rPr>
        <w:t xml:space="preserve">60-DAY TIMELINE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300"/>
        <w:gridCol w:w="1400"/>
        <w:gridCol w:w="4940"/>
        <w:gridCol w:w="2200"/>
      </w:tblGrid>
      <w:tr>
        <w:tc>
          <w:tcPr>
            <w:tcW w:type="dxa" w:w="1300"/>
            <w:tcBorders>
              <w:top w:val="single" w:color="E5E7EB" w:sz="1"/>
              <w:left w:val="single" w:color="E5E7EB" w:sz="1"/>
              <w:bottom w:val="single" w:color="E5E7EB" w:sz="1"/>
              <w:right w:val="single" w:color="E5E7EB" w:sz="1"/>
            </w:tcBorders>
            <w:shd w:fill="181818" w:val="clear"/>
            <w:tcMar>
              <w:top w:type="dxa" w:w="50"/>
              <w:left w:type="dxa" w:w="85"/>
              <w:bottom w:type="dxa" w:w="50"/>
              <w:right w:type="dxa" w:w="85"/>
            </w:tcMar>
          </w:tcPr>
          <w:p>
            <w:r>
              <w:rPr>
                <w:rFonts w:ascii="Tahoma" w:cs="Tahoma" w:eastAsia="Tahoma" w:hAnsi="Tahoma"/>
                <w:b/>
                <w:bCs/>
                <w:color w:val="FFFFFF"/>
                <w:sz w:val="16"/>
                <w:szCs w:val="16"/>
              </w:rPr>
              <w:t xml:space="preserve">Phase</w:t>
            </w:r>
          </w:p>
        </w:tc>
        <w:tc>
          <w:tcPr>
            <w:tcW w:type="dxa" w:w="1400"/>
            <w:tcBorders>
              <w:top w:val="single" w:color="E5E7EB" w:sz="1"/>
              <w:left w:val="single" w:color="E5E7EB" w:sz="1"/>
              <w:bottom w:val="single" w:color="E5E7EB" w:sz="1"/>
              <w:right w:val="single" w:color="E5E7EB" w:sz="1"/>
            </w:tcBorders>
            <w:shd w:fill="181818" w:val="clear"/>
            <w:tcMar>
              <w:top w:type="dxa" w:w="50"/>
              <w:left w:type="dxa" w:w="85"/>
              <w:bottom w:type="dxa" w:w="50"/>
              <w:right w:type="dxa" w:w="85"/>
            </w:tcMar>
          </w:tcPr>
          <w:p>
            <w:r>
              <w:rPr>
                <w:rFonts w:ascii="Tahoma" w:cs="Tahoma" w:eastAsia="Tahoma" w:hAnsi="Tahoma"/>
                <w:b/>
                <w:bCs/>
                <w:color w:val="FFFFFF"/>
                <w:sz w:val="16"/>
                <w:szCs w:val="16"/>
              </w:rPr>
              <w:t xml:space="preserve">Timing</w:t>
            </w:r>
          </w:p>
        </w:tc>
        <w:tc>
          <w:tcPr>
            <w:tcW w:type="dxa" w:w="4940"/>
            <w:tcBorders>
              <w:top w:val="single" w:color="E5E7EB" w:sz="1"/>
              <w:left w:val="single" w:color="E5E7EB" w:sz="1"/>
              <w:bottom w:val="single" w:color="E5E7EB" w:sz="1"/>
              <w:right w:val="single" w:color="E5E7EB" w:sz="1"/>
            </w:tcBorders>
            <w:shd w:fill="181818" w:val="clear"/>
            <w:tcMar>
              <w:top w:type="dxa" w:w="50"/>
              <w:left w:type="dxa" w:w="85"/>
              <w:bottom w:type="dxa" w:w="50"/>
              <w:right w:type="dxa" w:w="85"/>
            </w:tcMar>
          </w:tcPr>
          <w:p>
            <w:r>
              <w:rPr>
                <w:rFonts w:ascii="Tahoma" w:cs="Tahoma" w:eastAsia="Tahoma" w:hAnsi="Tahoma"/>
                <w:b/>
                <w:bCs/>
                <w:color w:val="FFFFFF"/>
                <w:sz w:val="16"/>
                <w:szCs w:val="16"/>
              </w:rPr>
              <w:t xml:space="preserve">Focus</w:t>
            </w:r>
          </w:p>
        </w:tc>
        <w:tc>
          <w:tcPr>
            <w:tcW w:type="dxa" w:w="2200"/>
            <w:tcBorders>
              <w:top w:val="single" w:color="E5E7EB" w:sz="1"/>
              <w:left w:val="single" w:color="E5E7EB" w:sz="1"/>
              <w:bottom w:val="single" w:color="E5E7EB" w:sz="1"/>
              <w:right w:val="single" w:color="E5E7EB" w:sz="1"/>
            </w:tcBorders>
            <w:shd w:fill="181818" w:val="clear"/>
            <w:tcMar>
              <w:top w:type="dxa" w:w="50"/>
              <w:left w:type="dxa" w:w="85"/>
              <w:bottom w:type="dxa" w:w="50"/>
              <w:right w:type="dxa" w:w="85"/>
            </w:tcMar>
          </w:tcPr>
          <w:p>
            <w:r>
              <w:rPr>
                <w:rFonts w:ascii="Tahoma" w:cs="Tahoma" w:eastAsia="Tahoma" w:hAnsi="Tahoma"/>
                <w:b/>
                <w:bCs/>
                <w:color w:val="FFFFFF"/>
                <w:sz w:val="16"/>
                <w:szCs w:val="16"/>
              </w:rPr>
              <w:t xml:space="preserve">Milestone</w:t>
            </w:r>
          </w:p>
        </w:tc>
      </w:tr>
      <w:tr>
        <w:tc>
          <w:tcPr>
            <w:tcW w:type="dxa" w:w="1300"/>
            <w:tcBorders>
              <w:top w:val="single" w:color="E5E7EB" w:sz="1"/>
              <w:left w:val="single" w:color="E5E7EB" w:sz="1"/>
              <w:bottom w:val="single" w:color="E5E7EB" w:sz="1"/>
              <w:right w:val="single" w:color="E5E7EB" w:sz="1"/>
            </w:tcBorders>
            <w:shd w:fill="F0FDF9" w:val="clear"/>
            <w:tcMar>
              <w:top w:type="dxa" w:w="50"/>
              <w:left w:type="dxa" w:w="85"/>
              <w:bottom w:type="dxa" w:w="50"/>
              <w:right w:type="dxa" w:w="85"/>
            </w:tcMar>
          </w:tcPr>
          <w:p>
            <w:r>
              <w:rPr>
                <w:rFonts w:ascii="Tahoma" w:cs="Tahoma" w:eastAsia="Tahoma" w:hAnsi="Tahoma"/>
                <w:b/>
                <w:bCs/>
                <w:color w:val="2D2D2D"/>
                <w:sz w:val="16"/>
                <w:szCs w:val="16"/>
              </w:rPr>
              <w:t xml:space="preserve">1</w:t>
            </w:r>
          </w:p>
        </w:tc>
        <w:tc>
          <w:tcPr>
            <w:tcW w:type="dxa" w:w="1400"/>
            <w:tcBorders>
              <w:top w:val="single" w:color="E5E7EB" w:sz="1"/>
              <w:left w:val="single" w:color="E5E7EB" w:sz="1"/>
              <w:bottom w:val="single" w:color="E5E7EB" w:sz="1"/>
              <w:right w:val="single" w:color="E5E7EB" w:sz="1"/>
            </w:tcBorders>
            <w:shd w:fill="F0FDF9" w:val="clear"/>
            <w:tcMar>
              <w:top w:type="dxa" w:w="50"/>
              <w:left w:type="dxa" w:w="85"/>
              <w:bottom w:type="dxa" w:w="50"/>
              <w:right w:type="dxa" w:w="85"/>
            </w:tcMar>
          </w:tcPr>
          <w:p>
            <w:r>
              <w:rPr>
                <w:rFonts w:ascii="Tahoma" w:cs="Tahoma" w:eastAsia="Tahoma" w:hAnsi="Tahoma"/>
                <w:color w:val="2D2D2D"/>
                <w:sz w:val="16"/>
                <w:szCs w:val="16"/>
              </w:rPr>
              <w:t xml:space="preserve">Weeks 1–4</w:t>
            </w:r>
          </w:p>
        </w:tc>
        <w:tc>
          <w:tcPr>
            <w:tcW w:type="dxa" w:w="4940"/>
            <w:tcBorders>
              <w:top w:val="single" w:color="E5E7EB" w:sz="1"/>
              <w:left w:val="single" w:color="E5E7EB" w:sz="1"/>
              <w:bottom w:val="single" w:color="E5E7EB" w:sz="1"/>
              <w:right w:val="single" w:color="E5E7EB" w:sz="1"/>
            </w:tcBorders>
            <w:shd w:fill="F0FDF9" w:val="clear"/>
            <w:tcMar>
              <w:top w:type="dxa" w:w="50"/>
              <w:left w:type="dxa" w:w="85"/>
              <w:bottom w:type="dxa" w:w="50"/>
              <w:right w:type="dxa" w:w="85"/>
            </w:tcMar>
          </w:tcPr>
          <w:p>
            <w:r>
              <w:rPr>
                <w:rFonts w:ascii="Tahoma" w:cs="Tahoma" w:eastAsia="Tahoma" w:hAnsi="Tahoma"/>
                <w:color w:val="2D2D2D"/>
                <w:sz w:val="16"/>
                <w:szCs w:val="16"/>
              </w:rPr>
              <w:t xml:space="preserve">Launch RepoRadar. Scan 25 accounts/week, enroll 50–100 contacts/week. Monitor deliverability, open rates, and reply quality. Book first qualified meeting by Week 3.</w:t>
            </w:r>
          </w:p>
        </w:tc>
        <w:tc>
          <w:tcPr>
            <w:tcW w:type="dxa" w:w="2200"/>
            <w:tcBorders>
              <w:top w:val="single" w:color="E5E7EB" w:sz="1"/>
              <w:left w:val="single" w:color="E5E7EB" w:sz="1"/>
              <w:bottom w:val="single" w:color="E5E7EB" w:sz="1"/>
              <w:right w:val="single" w:color="E5E7EB" w:sz="1"/>
            </w:tcBorders>
            <w:shd w:fill="F0FDF9" w:val="clear"/>
            <w:tcMar>
              <w:top w:type="dxa" w:w="50"/>
              <w:left w:type="dxa" w:w="85"/>
              <w:bottom w:type="dxa" w:w="50"/>
              <w:right w:type="dxa" w:w="85"/>
            </w:tcMar>
          </w:tcPr>
          <w:p>
            <w:r>
              <w:rPr>
                <w:rFonts w:ascii="Tahoma" w:cs="Tahoma" w:eastAsia="Tahoma" w:hAnsi="Tahoma"/>
                <w:b/>
                <w:bCs/>
                <w:color w:val="2D2D2D"/>
                <w:sz w:val="16"/>
                <w:szCs w:val="16"/>
              </w:rPr>
              <w:t xml:space="preserve">First meeting booked</w:t>
            </w:r>
          </w:p>
        </w:tc>
      </w:tr>
      <w:tr>
        <w:tc>
          <w:tcPr>
            <w:tcW w:type="dxa" w:w="1300"/>
            <w:tcBorders>
              <w:top w:val="single" w:color="E5E7EB" w:sz="1"/>
              <w:left w:val="single" w:color="E5E7EB" w:sz="1"/>
              <w:bottom w:val="single" w:color="E5E7EB" w:sz="1"/>
              <w:right w:val="single" w:color="E5E7EB" w:sz="1"/>
            </w:tcBorders>
            <w:shd w:fill="FFFFFF" w:val="clear"/>
            <w:tcMar>
              <w:top w:type="dxa" w:w="50"/>
              <w:left w:type="dxa" w:w="85"/>
              <w:bottom w:type="dxa" w:w="50"/>
              <w:right w:type="dxa" w:w="85"/>
            </w:tcMar>
          </w:tcPr>
          <w:p>
            <w:r>
              <w:rPr>
                <w:rFonts w:ascii="Tahoma" w:cs="Tahoma" w:eastAsia="Tahoma" w:hAnsi="Tahoma"/>
                <w:b/>
                <w:bCs/>
                <w:color w:val="2D2D2D"/>
                <w:sz w:val="16"/>
                <w:szCs w:val="16"/>
              </w:rPr>
              <w:t xml:space="preserve">2</w:t>
            </w:r>
          </w:p>
        </w:tc>
        <w:tc>
          <w:tcPr>
            <w:tcW w:type="dxa" w:w="1400"/>
            <w:tcBorders>
              <w:top w:val="single" w:color="E5E7EB" w:sz="1"/>
              <w:left w:val="single" w:color="E5E7EB" w:sz="1"/>
              <w:bottom w:val="single" w:color="E5E7EB" w:sz="1"/>
              <w:right w:val="single" w:color="E5E7EB" w:sz="1"/>
            </w:tcBorders>
            <w:shd w:fill="FFFFFF" w:val="clear"/>
            <w:tcMar>
              <w:top w:type="dxa" w:w="50"/>
              <w:left w:type="dxa" w:w="85"/>
              <w:bottom w:type="dxa" w:w="50"/>
              <w:right w:type="dxa" w:w="85"/>
            </w:tcMar>
          </w:tcPr>
          <w:p>
            <w:r>
              <w:rPr>
                <w:rFonts w:ascii="Tahoma" w:cs="Tahoma" w:eastAsia="Tahoma" w:hAnsi="Tahoma"/>
                <w:color w:val="2D2D2D"/>
                <w:sz w:val="16"/>
                <w:szCs w:val="16"/>
              </w:rPr>
              <w:t xml:space="preserve">Weeks 5–6</w:t>
            </w:r>
          </w:p>
        </w:tc>
        <w:tc>
          <w:tcPr>
            <w:tcW w:type="dxa" w:w="4940"/>
            <w:tcBorders>
              <w:top w:val="single" w:color="E5E7EB" w:sz="1"/>
              <w:left w:val="single" w:color="E5E7EB" w:sz="1"/>
              <w:bottom w:val="single" w:color="E5E7EB" w:sz="1"/>
              <w:right w:val="single" w:color="E5E7EB" w:sz="1"/>
            </w:tcBorders>
            <w:shd w:fill="FFFFFF" w:val="clear"/>
            <w:tcMar>
              <w:top w:type="dxa" w:w="50"/>
              <w:left w:type="dxa" w:w="85"/>
              <w:bottom w:type="dxa" w:w="50"/>
              <w:right w:type="dxa" w:w="85"/>
            </w:tcMar>
          </w:tcPr>
          <w:p>
            <w:r>
              <w:rPr>
                <w:rFonts w:ascii="Tahoma" w:cs="Tahoma" w:eastAsia="Tahoma" w:hAnsi="Tahoma"/>
                <w:color w:val="2D2D2D"/>
                <w:sz w:val="16"/>
                <w:szCs w:val="16"/>
              </w:rPr>
              <w:t xml:space="preserve">Scale RepoRadar volume. Launch Campaign #2 (video localization, Phrase Studio, or competitive displacement). BDRs running independently. AEs onboarded to the platform for expansion plays.</w:t>
            </w:r>
          </w:p>
        </w:tc>
        <w:tc>
          <w:tcPr>
            <w:tcW w:type="dxa" w:w="2200"/>
            <w:tcBorders>
              <w:top w:val="single" w:color="E5E7EB" w:sz="1"/>
              <w:left w:val="single" w:color="E5E7EB" w:sz="1"/>
              <w:bottom w:val="single" w:color="E5E7EB" w:sz="1"/>
              <w:right w:val="single" w:color="E5E7EB" w:sz="1"/>
            </w:tcBorders>
            <w:shd w:fill="FFFFFF" w:val="clear"/>
            <w:tcMar>
              <w:top w:type="dxa" w:w="50"/>
              <w:left w:type="dxa" w:w="85"/>
              <w:bottom w:type="dxa" w:w="50"/>
              <w:right w:type="dxa" w:w="85"/>
            </w:tcMar>
          </w:tcPr>
          <w:p>
            <w:r>
              <w:rPr>
                <w:rFonts w:ascii="Tahoma" w:cs="Tahoma" w:eastAsia="Tahoma" w:hAnsi="Tahoma"/>
                <w:b/>
                <w:bCs/>
                <w:color w:val="2D2D2D"/>
                <w:sz w:val="16"/>
                <w:szCs w:val="16"/>
              </w:rPr>
              <w:t xml:space="preserve">Multi-campaign live</w:t>
            </w:r>
          </w:p>
        </w:tc>
      </w:tr>
      <w:tr>
        <w:tc>
          <w:tcPr>
            <w:tcW w:type="dxa" w:w="1300"/>
            <w:tcBorders>
              <w:top w:val="single" w:color="E5E7EB" w:sz="1"/>
              <w:left w:val="single" w:color="E5E7EB" w:sz="1"/>
              <w:bottom w:val="single" w:color="E5E7EB" w:sz="1"/>
              <w:right w:val="single" w:color="E5E7EB" w:sz="1"/>
            </w:tcBorders>
            <w:shd w:fill="F0FDF9" w:val="clear"/>
            <w:tcMar>
              <w:top w:type="dxa" w:w="50"/>
              <w:left w:type="dxa" w:w="85"/>
              <w:bottom w:type="dxa" w:w="50"/>
              <w:right w:type="dxa" w:w="85"/>
            </w:tcMar>
          </w:tcPr>
          <w:p>
            <w:r>
              <w:rPr>
                <w:rFonts w:ascii="Tahoma" w:cs="Tahoma" w:eastAsia="Tahoma" w:hAnsi="Tahoma"/>
                <w:b/>
                <w:bCs/>
                <w:color w:val="2D2D2D"/>
                <w:sz w:val="16"/>
                <w:szCs w:val="16"/>
              </w:rPr>
              <w:t xml:space="preserve">3</w:t>
            </w:r>
          </w:p>
        </w:tc>
        <w:tc>
          <w:tcPr>
            <w:tcW w:type="dxa" w:w="1400"/>
            <w:tcBorders>
              <w:top w:val="single" w:color="E5E7EB" w:sz="1"/>
              <w:left w:val="single" w:color="E5E7EB" w:sz="1"/>
              <w:bottom w:val="single" w:color="E5E7EB" w:sz="1"/>
              <w:right w:val="single" w:color="E5E7EB" w:sz="1"/>
            </w:tcBorders>
            <w:shd w:fill="F0FDF9" w:val="clear"/>
            <w:tcMar>
              <w:top w:type="dxa" w:w="50"/>
              <w:left w:type="dxa" w:w="85"/>
              <w:bottom w:type="dxa" w:w="50"/>
              <w:right w:type="dxa" w:w="85"/>
            </w:tcMar>
          </w:tcPr>
          <w:p>
            <w:r>
              <w:rPr>
                <w:rFonts w:ascii="Tahoma" w:cs="Tahoma" w:eastAsia="Tahoma" w:hAnsi="Tahoma"/>
                <w:color w:val="2D2D2D"/>
                <w:sz w:val="16"/>
                <w:szCs w:val="16"/>
              </w:rPr>
              <w:t xml:space="preserve">Weeks 7–9</w:t>
            </w:r>
          </w:p>
        </w:tc>
        <w:tc>
          <w:tcPr>
            <w:tcW w:type="dxa" w:w="4940"/>
            <w:tcBorders>
              <w:top w:val="single" w:color="E5E7EB" w:sz="1"/>
              <w:left w:val="single" w:color="E5E7EB" w:sz="1"/>
              <w:bottom w:val="single" w:color="E5E7EB" w:sz="1"/>
              <w:right w:val="single" w:color="E5E7EB" w:sz="1"/>
            </w:tcBorders>
            <w:shd w:fill="F0FDF9" w:val="clear"/>
            <w:tcMar>
              <w:top w:type="dxa" w:w="50"/>
              <w:left w:type="dxa" w:w="85"/>
              <w:bottom w:type="dxa" w:w="50"/>
              <w:right w:type="dxa" w:w="85"/>
            </w:tcMar>
          </w:tcPr>
          <w:p>
            <w:r>
              <w:rPr>
                <w:rFonts w:ascii="Tahoma" w:cs="Tahoma" w:eastAsia="Tahoma" w:hAnsi="Tahoma"/>
                <w:color w:val="2D2D2D"/>
                <w:sz w:val="16"/>
                <w:szCs w:val="16"/>
              </w:rPr>
              <w:t xml:space="preserve">Multiple campaigns in parallel across BDRs, AEs, and leadership. Peer-to-peer CXO outreach active. Week 9: full ROI analysis and go/no-go on permanent adoption and scaling.</w:t>
            </w:r>
          </w:p>
        </w:tc>
        <w:tc>
          <w:tcPr>
            <w:tcW w:type="dxa" w:w="2200"/>
            <w:tcBorders>
              <w:top w:val="single" w:color="E5E7EB" w:sz="1"/>
              <w:left w:val="single" w:color="E5E7EB" w:sz="1"/>
              <w:bottom w:val="single" w:color="E5E7EB" w:sz="1"/>
              <w:right w:val="single" w:color="E5E7EB" w:sz="1"/>
            </w:tcBorders>
            <w:shd w:fill="F0FDF9" w:val="clear"/>
            <w:tcMar>
              <w:top w:type="dxa" w:w="50"/>
              <w:left w:type="dxa" w:w="85"/>
              <w:bottom w:type="dxa" w:w="50"/>
              <w:right w:type="dxa" w:w="85"/>
            </w:tcMar>
          </w:tcPr>
          <w:p>
            <w:r>
              <w:rPr>
                <w:rFonts w:ascii="Tahoma" w:cs="Tahoma" w:eastAsia="Tahoma" w:hAnsi="Tahoma"/>
                <w:b/>
                <w:bCs/>
                <w:color w:val="2D2D2D"/>
                <w:sz w:val="16"/>
                <w:szCs w:val="16"/>
              </w:rPr>
              <w:t xml:space="preserve">Sustained 1+ mtg/wk</w:t>
            </w:r>
          </w:p>
        </w:tc>
      </w:tr>
    </w:tbl>
    <w:p>
      <w:pPr>
        <w:pBdr>
          <w:bottom w:val="single" w:color="03EAB3" w:sz="4" w:space="5"/>
        </w:pBdr>
        <w:spacing w:after="70" w:before="200"/>
      </w:pPr>
      <w:r>
        <w:rPr>
          <w:rFonts w:ascii="Tahoma" w:cs="Tahoma" w:eastAsia="Tahoma" w:hAnsi="Tahoma"/>
          <w:b/>
          <w:bCs/>
          <w:color w:val="181818"/>
          <w:spacing w:val="80"/>
          <w:sz w:val="22"/>
          <w:szCs w:val="22"/>
        </w:rPr>
        <w:t xml:space="preserve">SUCCESS METRICS</w:t>
      </w:r>
    </w:p>
    <w:p>
      <w:pPr>
        <w:spacing w:after="50" w:before="140"/>
      </w:pPr>
      <w:r>
        <w:rPr>
          <w:rFonts w:ascii="Tahoma" w:cs="Tahoma" w:eastAsia="Tahoma" w:hAnsi="Tahoma"/>
          <w:b/>
          <w:bCs/>
          <w:color w:val="181818"/>
          <w:sz w:val="19"/>
          <w:szCs w:val="19"/>
        </w:rPr>
        <w:t xml:space="preserve">Primary KPI</w:t>
      </w:r>
    </w:p>
    <w:p>
      <w:pPr>
        <w:spacing w:after="70" w:line="260"/>
      </w:pPr>
      <w:r>
        <w:rPr>
          <w:rFonts w:ascii="Tahoma" w:cs="Tahoma" w:eastAsia="Tahoma" w:hAnsi="Tahoma"/>
          <w:color w:val="2D2D2D"/>
          <w:sz w:val="18"/>
          <w:szCs w:val="18"/>
        </w:rPr>
        <w:t xml:space="preserve">1 qualified meeting per week from Lead Machine-sourced outbound by Week 3, sustained through the experiment.</w:t>
      </w:r>
    </w:p>
    <w:p>
      <w:pPr>
        <w:spacing w:after="50" w:before="140"/>
      </w:pPr>
      <w:r>
        <w:rPr>
          <w:rFonts w:ascii="Tahoma" w:cs="Tahoma" w:eastAsia="Tahoma" w:hAnsi="Tahoma"/>
          <w:b/>
          <w:bCs/>
          <w:color w:val="181818"/>
          <w:sz w:val="19"/>
          <w:szCs w:val="19"/>
        </w:rPr>
        <w:t xml:space="preserve">Activity Metrics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600"/>
        <w:gridCol w:w="3120"/>
        <w:gridCol w:w="3120"/>
      </w:tblGrid>
      <w:tr>
        <w:tc>
          <w:tcPr>
            <w:tcW w:type="dxa" w:w="3600"/>
            <w:tcBorders>
              <w:top w:val="single" w:color="E5E7EB" w:sz="1"/>
              <w:left w:val="single" w:color="E5E7EB" w:sz="1"/>
              <w:bottom w:val="single" w:color="E5E7EB" w:sz="1"/>
              <w:right w:val="single" w:color="E5E7EB" w:sz="1"/>
            </w:tcBorders>
            <w:shd w:fill="181818" w:val="clear"/>
            <w:tcMar>
              <w:top w:type="dxa" w:w="50"/>
              <w:left w:type="dxa" w:w="85"/>
              <w:bottom w:type="dxa" w:w="50"/>
              <w:right w:type="dxa" w:w="85"/>
            </w:tcMar>
          </w:tcPr>
          <w:p>
            <w:r>
              <w:rPr>
                <w:rFonts w:ascii="Tahoma" w:cs="Tahoma" w:eastAsia="Tahoma" w:hAnsi="Tahoma"/>
                <w:b/>
                <w:bCs/>
                <w:color w:val="FFFFFF"/>
                <w:sz w:val="16"/>
                <w:szCs w:val="16"/>
              </w:rPr>
              <w:t xml:space="preserve">Metric</w:t>
            </w:r>
          </w:p>
        </w:tc>
        <w:tc>
          <w:tcPr>
            <w:tcW w:type="dxa" w:w="3120"/>
            <w:tcBorders>
              <w:top w:val="single" w:color="E5E7EB" w:sz="1"/>
              <w:left w:val="single" w:color="E5E7EB" w:sz="1"/>
              <w:bottom w:val="single" w:color="E5E7EB" w:sz="1"/>
              <w:right w:val="single" w:color="E5E7EB" w:sz="1"/>
            </w:tcBorders>
            <w:shd w:fill="181818" w:val="clear"/>
            <w:tcMar>
              <w:top w:type="dxa" w:w="50"/>
              <w:left w:type="dxa" w:w="85"/>
              <w:bottom w:type="dxa" w:w="50"/>
              <w:right w:type="dxa" w:w="85"/>
            </w:tcMar>
          </w:tcPr>
          <w:p>
            <w:r>
              <w:rPr>
                <w:rFonts w:ascii="Tahoma" w:cs="Tahoma" w:eastAsia="Tahoma" w:hAnsi="Tahoma"/>
                <w:b/>
                <w:bCs/>
                <w:color w:val="FFFFFF"/>
                <w:sz w:val="16"/>
                <w:szCs w:val="16"/>
              </w:rPr>
              <w:t xml:space="preserve">Weekly Target</w:t>
            </w:r>
          </w:p>
        </w:tc>
        <w:tc>
          <w:tcPr>
            <w:tcW w:type="dxa" w:w="3120"/>
            <w:tcBorders>
              <w:top w:val="single" w:color="E5E7EB" w:sz="1"/>
              <w:left w:val="single" w:color="E5E7EB" w:sz="1"/>
              <w:bottom w:val="single" w:color="E5E7EB" w:sz="1"/>
              <w:right w:val="single" w:color="E5E7EB" w:sz="1"/>
            </w:tcBorders>
            <w:shd w:fill="181818" w:val="clear"/>
            <w:tcMar>
              <w:top w:type="dxa" w:w="50"/>
              <w:left w:type="dxa" w:w="85"/>
              <w:bottom w:type="dxa" w:w="50"/>
              <w:right w:type="dxa" w:w="85"/>
            </w:tcMar>
          </w:tcPr>
          <w:p>
            <w:r>
              <w:rPr>
                <w:rFonts w:ascii="Tahoma" w:cs="Tahoma" w:eastAsia="Tahoma" w:hAnsi="Tahoma"/>
                <w:b/>
                <w:bCs/>
                <w:color w:val="FFFFFF"/>
                <w:sz w:val="16"/>
                <w:szCs w:val="16"/>
              </w:rPr>
              <w:t xml:space="preserve">60-Day Cumulative</w:t>
            </w:r>
          </w:p>
        </w:tc>
      </w:tr>
      <w:tr>
        <w:tc>
          <w:tcPr>
            <w:tcW w:type="dxa" w:w="3600"/>
            <w:tcBorders>
              <w:top w:val="single" w:color="E5E7EB" w:sz="1"/>
              <w:left w:val="single" w:color="E5E7EB" w:sz="1"/>
              <w:bottom w:val="single" w:color="E5E7EB" w:sz="1"/>
              <w:right w:val="single" w:color="E5E7EB" w:sz="1"/>
            </w:tcBorders>
            <w:shd w:fill="FFFFFF" w:val="clear"/>
            <w:tcMar>
              <w:top w:type="dxa" w:w="50"/>
              <w:left w:type="dxa" w:w="85"/>
              <w:bottom w:type="dxa" w:w="50"/>
              <w:right w:type="dxa" w:w="85"/>
            </w:tcMar>
          </w:tcPr>
          <w:p>
            <w:r>
              <w:rPr>
                <w:rFonts w:ascii="Tahoma" w:cs="Tahoma" w:eastAsia="Tahoma" w:hAnsi="Tahoma"/>
                <w:color w:val="2D2D2D"/>
                <w:sz w:val="16"/>
                <w:szCs w:val="16"/>
              </w:rPr>
              <w:t xml:space="preserve">Accounts scanned / imported</w:t>
            </w:r>
          </w:p>
        </w:tc>
        <w:tc>
          <w:tcPr>
            <w:tcW w:type="dxa" w:w="3120"/>
            <w:tcBorders>
              <w:top w:val="single" w:color="E5E7EB" w:sz="1"/>
              <w:left w:val="single" w:color="E5E7EB" w:sz="1"/>
              <w:bottom w:val="single" w:color="E5E7EB" w:sz="1"/>
              <w:right w:val="single" w:color="E5E7EB" w:sz="1"/>
            </w:tcBorders>
            <w:shd w:fill="FFFFFF" w:val="clear"/>
            <w:tcMar>
              <w:top w:type="dxa" w:w="50"/>
              <w:left w:type="dxa" w:w="85"/>
              <w:bottom w:type="dxa" w:w="50"/>
              <w:right w:type="dxa" w:w="85"/>
            </w:tcMar>
          </w:tcPr>
          <w:p>
            <w:r>
              <w:rPr>
                <w:rFonts w:ascii="Tahoma" w:cs="Tahoma" w:eastAsia="Tahoma" w:hAnsi="Tahoma"/>
                <w:color w:val="2D2D2D"/>
                <w:sz w:val="16"/>
                <w:szCs w:val="16"/>
              </w:rPr>
              <w:t xml:space="preserve">25+</w:t>
            </w:r>
          </w:p>
        </w:tc>
        <w:tc>
          <w:tcPr>
            <w:tcW w:type="dxa" w:w="3120"/>
            <w:tcBorders>
              <w:top w:val="single" w:color="E5E7EB" w:sz="1"/>
              <w:left w:val="single" w:color="E5E7EB" w:sz="1"/>
              <w:bottom w:val="single" w:color="E5E7EB" w:sz="1"/>
              <w:right w:val="single" w:color="E5E7EB" w:sz="1"/>
            </w:tcBorders>
            <w:shd w:fill="FFFFFF" w:val="clear"/>
            <w:tcMar>
              <w:top w:type="dxa" w:w="50"/>
              <w:left w:type="dxa" w:w="85"/>
              <w:bottom w:type="dxa" w:w="50"/>
              <w:right w:type="dxa" w:w="85"/>
            </w:tcMar>
          </w:tcPr>
          <w:p>
            <w:r>
              <w:rPr>
                <w:rFonts w:ascii="Tahoma" w:cs="Tahoma" w:eastAsia="Tahoma" w:hAnsi="Tahoma"/>
                <w:color w:val="2D2D2D"/>
                <w:sz w:val="16"/>
                <w:szCs w:val="16"/>
              </w:rPr>
              <w:t xml:space="preserve">200+</w:t>
            </w:r>
          </w:p>
        </w:tc>
      </w:tr>
      <w:tr>
        <w:tc>
          <w:tcPr>
            <w:tcW w:type="dxa" w:w="3600"/>
            <w:tcBorders>
              <w:top w:val="single" w:color="E5E7EB" w:sz="1"/>
              <w:left w:val="single" w:color="E5E7EB" w:sz="1"/>
              <w:bottom w:val="single" w:color="E5E7EB" w:sz="1"/>
              <w:right w:val="single" w:color="E5E7EB" w:sz="1"/>
            </w:tcBorders>
            <w:shd w:fill="FFFFFF" w:val="clear"/>
            <w:tcMar>
              <w:top w:type="dxa" w:w="50"/>
              <w:left w:type="dxa" w:w="85"/>
              <w:bottom w:type="dxa" w:w="50"/>
              <w:right w:type="dxa" w:w="85"/>
            </w:tcMar>
          </w:tcPr>
          <w:p>
            <w:r>
              <w:rPr>
                <w:rFonts w:ascii="Tahoma" w:cs="Tahoma" w:eastAsia="Tahoma" w:hAnsi="Tahoma"/>
                <w:color w:val="2D2D2D"/>
                <w:sz w:val="16"/>
                <w:szCs w:val="16"/>
              </w:rPr>
              <w:t xml:space="preserve">Contacts enrolled in sequences</w:t>
            </w:r>
          </w:p>
        </w:tc>
        <w:tc>
          <w:tcPr>
            <w:tcW w:type="dxa" w:w="3120"/>
            <w:tcBorders>
              <w:top w:val="single" w:color="E5E7EB" w:sz="1"/>
              <w:left w:val="single" w:color="E5E7EB" w:sz="1"/>
              <w:bottom w:val="single" w:color="E5E7EB" w:sz="1"/>
              <w:right w:val="single" w:color="E5E7EB" w:sz="1"/>
            </w:tcBorders>
            <w:shd w:fill="FFFFFF" w:val="clear"/>
            <w:tcMar>
              <w:top w:type="dxa" w:w="50"/>
              <w:left w:type="dxa" w:w="85"/>
              <w:bottom w:type="dxa" w:w="50"/>
              <w:right w:type="dxa" w:w="85"/>
            </w:tcMar>
          </w:tcPr>
          <w:p>
            <w:r>
              <w:rPr>
                <w:rFonts w:ascii="Tahoma" w:cs="Tahoma" w:eastAsia="Tahoma" w:hAnsi="Tahoma"/>
                <w:color w:val="2D2D2D"/>
                <w:sz w:val="16"/>
                <w:szCs w:val="16"/>
              </w:rPr>
              <w:t xml:space="preserve">50–100</w:t>
            </w:r>
          </w:p>
        </w:tc>
        <w:tc>
          <w:tcPr>
            <w:tcW w:type="dxa" w:w="3120"/>
            <w:tcBorders>
              <w:top w:val="single" w:color="E5E7EB" w:sz="1"/>
              <w:left w:val="single" w:color="E5E7EB" w:sz="1"/>
              <w:bottom w:val="single" w:color="E5E7EB" w:sz="1"/>
              <w:right w:val="single" w:color="E5E7EB" w:sz="1"/>
            </w:tcBorders>
            <w:shd w:fill="FFFFFF" w:val="clear"/>
            <w:tcMar>
              <w:top w:type="dxa" w:w="50"/>
              <w:left w:type="dxa" w:w="85"/>
              <w:bottom w:type="dxa" w:w="50"/>
              <w:right w:type="dxa" w:w="85"/>
            </w:tcMar>
          </w:tcPr>
          <w:p>
            <w:r>
              <w:rPr>
                <w:rFonts w:ascii="Tahoma" w:cs="Tahoma" w:eastAsia="Tahoma" w:hAnsi="Tahoma"/>
                <w:color w:val="2D2D2D"/>
                <w:sz w:val="16"/>
                <w:szCs w:val="16"/>
              </w:rPr>
              <w:t xml:space="preserve">500–800</w:t>
            </w:r>
          </w:p>
        </w:tc>
      </w:tr>
      <w:tr>
        <w:tc>
          <w:tcPr>
            <w:tcW w:type="dxa" w:w="3600"/>
            <w:tcBorders>
              <w:top w:val="single" w:color="E5E7EB" w:sz="1"/>
              <w:left w:val="single" w:color="E5E7EB" w:sz="1"/>
              <w:bottom w:val="single" w:color="E5E7EB" w:sz="1"/>
              <w:right w:val="single" w:color="E5E7EB" w:sz="1"/>
            </w:tcBorders>
            <w:shd w:fill="FFFFFF" w:val="clear"/>
            <w:tcMar>
              <w:top w:type="dxa" w:w="50"/>
              <w:left w:type="dxa" w:w="85"/>
              <w:bottom w:type="dxa" w:w="50"/>
              <w:right w:type="dxa" w:w="85"/>
            </w:tcMar>
          </w:tcPr>
          <w:p>
            <w:r>
              <w:rPr>
                <w:rFonts w:ascii="Tahoma" w:cs="Tahoma" w:eastAsia="Tahoma" w:hAnsi="Tahoma"/>
                <w:color w:val="2D2D2D"/>
                <w:sz w:val="16"/>
                <w:szCs w:val="16"/>
              </w:rPr>
              <w:t xml:space="preserve">Personalized emails sent</w:t>
            </w:r>
          </w:p>
        </w:tc>
        <w:tc>
          <w:tcPr>
            <w:tcW w:type="dxa" w:w="3120"/>
            <w:tcBorders>
              <w:top w:val="single" w:color="E5E7EB" w:sz="1"/>
              <w:left w:val="single" w:color="E5E7EB" w:sz="1"/>
              <w:bottom w:val="single" w:color="E5E7EB" w:sz="1"/>
              <w:right w:val="single" w:color="E5E7EB" w:sz="1"/>
            </w:tcBorders>
            <w:shd w:fill="FFFFFF" w:val="clear"/>
            <w:tcMar>
              <w:top w:type="dxa" w:w="50"/>
              <w:left w:type="dxa" w:w="85"/>
              <w:bottom w:type="dxa" w:w="50"/>
              <w:right w:type="dxa" w:w="85"/>
            </w:tcMar>
          </w:tcPr>
          <w:p>
            <w:r>
              <w:rPr>
                <w:rFonts w:ascii="Tahoma" w:cs="Tahoma" w:eastAsia="Tahoma" w:hAnsi="Tahoma"/>
                <w:color w:val="2D2D2D"/>
                <w:sz w:val="16"/>
                <w:szCs w:val="16"/>
              </w:rPr>
              <w:t xml:space="preserve">150–300</w:t>
            </w:r>
          </w:p>
        </w:tc>
        <w:tc>
          <w:tcPr>
            <w:tcW w:type="dxa" w:w="3120"/>
            <w:tcBorders>
              <w:top w:val="single" w:color="E5E7EB" w:sz="1"/>
              <w:left w:val="single" w:color="E5E7EB" w:sz="1"/>
              <w:bottom w:val="single" w:color="E5E7EB" w:sz="1"/>
              <w:right w:val="single" w:color="E5E7EB" w:sz="1"/>
            </w:tcBorders>
            <w:shd w:fill="FFFFFF" w:val="clear"/>
            <w:tcMar>
              <w:top w:type="dxa" w:w="50"/>
              <w:left w:type="dxa" w:w="85"/>
              <w:bottom w:type="dxa" w:w="50"/>
              <w:right w:type="dxa" w:w="85"/>
            </w:tcMar>
          </w:tcPr>
          <w:p>
            <w:r>
              <w:rPr>
                <w:rFonts w:ascii="Tahoma" w:cs="Tahoma" w:eastAsia="Tahoma" w:hAnsi="Tahoma"/>
                <w:color w:val="2D2D2D"/>
                <w:sz w:val="16"/>
                <w:szCs w:val="16"/>
              </w:rPr>
              <w:t xml:space="preserve">1,500+</w:t>
            </w:r>
          </w:p>
        </w:tc>
      </w:tr>
      <w:tr>
        <w:tc>
          <w:tcPr>
            <w:tcW w:type="dxa" w:w="3600"/>
            <w:tcBorders>
              <w:top w:val="single" w:color="E5E7EB" w:sz="1"/>
              <w:left w:val="single" w:color="E5E7EB" w:sz="1"/>
              <w:bottom w:val="single" w:color="E5E7EB" w:sz="1"/>
              <w:right w:val="single" w:color="E5E7EB" w:sz="1"/>
            </w:tcBorders>
            <w:shd w:fill="FFFFFF" w:val="clear"/>
            <w:tcMar>
              <w:top w:type="dxa" w:w="50"/>
              <w:left w:type="dxa" w:w="85"/>
              <w:bottom w:type="dxa" w:w="50"/>
              <w:right w:type="dxa" w:w="85"/>
            </w:tcMar>
          </w:tcPr>
          <w:p>
            <w:r>
              <w:rPr>
                <w:rFonts w:ascii="Tahoma" w:cs="Tahoma" w:eastAsia="Tahoma" w:hAnsi="Tahoma"/>
                <w:color w:val="2D2D2D"/>
                <w:sz w:val="16"/>
                <w:szCs w:val="16"/>
              </w:rPr>
              <w:t xml:space="preserve">Positive replies</w:t>
            </w:r>
          </w:p>
        </w:tc>
        <w:tc>
          <w:tcPr>
            <w:tcW w:type="dxa" w:w="3120"/>
            <w:tcBorders>
              <w:top w:val="single" w:color="E5E7EB" w:sz="1"/>
              <w:left w:val="single" w:color="E5E7EB" w:sz="1"/>
              <w:bottom w:val="single" w:color="E5E7EB" w:sz="1"/>
              <w:right w:val="single" w:color="E5E7EB" w:sz="1"/>
            </w:tcBorders>
            <w:shd w:fill="FFFFFF" w:val="clear"/>
            <w:tcMar>
              <w:top w:type="dxa" w:w="50"/>
              <w:left w:type="dxa" w:w="85"/>
              <w:bottom w:type="dxa" w:w="50"/>
              <w:right w:type="dxa" w:w="85"/>
            </w:tcMar>
          </w:tcPr>
          <w:p>
            <w:r>
              <w:rPr>
                <w:rFonts w:ascii="Tahoma" w:cs="Tahoma" w:eastAsia="Tahoma" w:hAnsi="Tahoma"/>
                <w:color w:val="2D2D2D"/>
                <w:sz w:val="16"/>
                <w:szCs w:val="16"/>
              </w:rPr>
              <w:t xml:space="preserve">5–10</w:t>
            </w:r>
          </w:p>
        </w:tc>
        <w:tc>
          <w:tcPr>
            <w:tcW w:type="dxa" w:w="3120"/>
            <w:tcBorders>
              <w:top w:val="single" w:color="E5E7EB" w:sz="1"/>
              <w:left w:val="single" w:color="E5E7EB" w:sz="1"/>
              <w:bottom w:val="single" w:color="E5E7EB" w:sz="1"/>
              <w:right w:val="single" w:color="E5E7EB" w:sz="1"/>
            </w:tcBorders>
            <w:shd w:fill="FFFFFF" w:val="clear"/>
            <w:tcMar>
              <w:top w:type="dxa" w:w="50"/>
              <w:left w:type="dxa" w:w="85"/>
              <w:bottom w:type="dxa" w:w="50"/>
              <w:right w:type="dxa" w:w="85"/>
            </w:tcMar>
          </w:tcPr>
          <w:p>
            <w:r>
              <w:rPr>
                <w:rFonts w:ascii="Tahoma" w:cs="Tahoma" w:eastAsia="Tahoma" w:hAnsi="Tahoma"/>
                <w:color w:val="2D2D2D"/>
                <w:sz w:val="16"/>
                <w:szCs w:val="16"/>
              </w:rPr>
              <w:t xml:space="preserve">50–80</w:t>
            </w:r>
          </w:p>
        </w:tc>
      </w:tr>
      <w:tr>
        <w:tc>
          <w:tcPr>
            <w:tcW w:type="dxa" w:w="3600"/>
            <w:tcBorders>
              <w:top w:val="single" w:color="E5E7EB" w:sz="1"/>
              <w:left w:val="single" w:color="E5E7EB" w:sz="1"/>
              <w:bottom w:val="single" w:color="E5E7EB" w:sz="1"/>
              <w:right w:val="single" w:color="E5E7EB" w:sz="1"/>
            </w:tcBorders>
            <w:shd w:fill="F0FDF9" w:val="clear"/>
            <w:tcMar>
              <w:top w:type="dxa" w:w="50"/>
              <w:left w:type="dxa" w:w="85"/>
              <w:bottom w:type="dxa" w:w="50"/>
              <w:right w:type="dxa" w:w="85"/>
            </w:tcMar>
          </w:tcPr>
          <w:p>
            <w:r>
              <w:rPr>
                <w:rFonts w:ascii="Tahoma" w:cs="Tahoma" w:eastAsia="Tahoma" w:hAnsi="Tahoma"/>
                <w:b/>
                <w:bCs/>
                <w:color w:val="2D2D2D"/>
                <w:sz w:val="16"/>
                <w:szCs w:val="16"/>
              </w:rPr>
              <w:t xml:space="preserve">Qualified meetings booked</w:t>
            </w:r>
          </w:p>
        </w:tc>
        <w:tc>
          <w:tcPr>
            <w:tcW w:type="dxa" w:w="3120"/>
            <w:tcBorders>
              <w:top w:val="single" w:color="E5E7EB" w:sz="1"/>
              <w:left w:val="single" w:color="E5E7EB" w:sz="1"/>
              <w:bottom w:val="single" w:color="E5E7EB" w:sz="1"/>
              <w:right w:val="single" w:color="E5E7EB" w:sz="1"/>
            </w:tcBorders>
            <w:shd w:fill="F0FDF9" w:val="clear"/>
            <w:tcMar>
              <w:top w:type="dxa" w:w="50"/>
              <w:left w:type="dxa" w:w="85"/>
              <w:bottom w:type="dxa" w:w="50"/>
              <w:right w:type="dxa" w:w="85"/>
            </w:tcMar>
          </w:tcPr>
          <w:p>
            <w:r>
              <w:rPr>
                <w:rFonts w:ascii="Tahoma" w:cs="Tahoma" w:eastAsia="Tahoma" w:hAnsi="Tahoma"/>
                <w:b/>
                <w:bCs/>
                <w:color w:val="2D2D2D"/>
                <w:sz w:val="16"/>
                <w:szCs w:val="16"/>
              </w:rPr>
              <w:t xml:space="preserve">1</w:t>
            </w:r>
          </w:p>
        </w:tc>
        <w:tc>
          <w:tcPr>
            <w:tcW w:type="dxa" w:w="3120"/>
            <w:tcBorders>
              <w:top w:val="single" w:color="E5E7EB" w:sz="1"/>
              <w:left w:val="single" w:color="E5E7EB" w:sz="1"/>
              <w:bottom w:val="single" w:color="E5E7EB" w:sz="1"/>
              <w:right w:val="single" w:color="E5E7EB" w:sz="1"/>
            </w:tcBorders>
            <w:shd w:fill="F0FDF9" w:val="clear"/>
            <w:tcMar>
              <w:top w:type="dxa" w:w="50"/>
              <w:left w:type="dxa" w:w="85"/>
              <w:bottom w:type="dxa" w:w="50"/>
              <w:right w:type="dxa" w:w="85"/>
            </w:tcMar>
          </w:tcPr>
          <w:p>
            <w:r>
              <w:rPr>
                <w:rFonts w:ascii="Tahoma" w:cs="Tahoma" w:eastAsia="Tahoma" w:hAnsi="Tahoma"/>
                <w:b/>
                <w:bCs/>
                <w:color w:val="2D2D2D"/>
                <w:sz w:val="16"/>
                <w:szCs w:val="16"/>
              </w:rPr>
              <w:t xml:space="preserve">8–10</w:t>
            </w:r>
          </w:p>
        </w:tc>
      </w:tr>
    </w:tbl>
    <w:p>
      <w:pPr>
        <w:spacing w:after="30"/>
      </w:pPr>
    </w:p>
    <w:p>
      <w:pPr>
        <w:spacing w:after="50" w:before="140"/>
      </w:pPr>
      <w:r>
        <w:rPr>
          <w:rFonts w:ascii="Tahoma" w:cs="Tahoma" w:eastAsia="Tahoma" w:hAnsi="Tahoma"/>
          <w:b/>
          <w:bCs/>
          <w:color w:val="181818"/>
          <w:sz w:val="19"/>
          <w:szCs w:val="19"/>
        </w:rPr>
        <w:t xml:space="preserve">Conversion Benchmarks: Lead Machine vs. Traditional Outbound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600"/>
        <w:gridCol w:w="3120"/>
        <w:gridCol w:w="3120"/>
      </w:tblGrid>
      <w:tr>
        <w:tc>
          <w:tcPr>
            <w:tcW w:type="dxa" w:w="3600"/>
            <w:tcBorders>
              <w:top w:val="single" w:color="E5E7EB" w:sz="1"/>
              <w:left w:val="single" w:color="E5E7EB" w:sz="1"/>
              <w:bottom w:val="single" w:color="E5E7EB" w:sz="1"/>
              <w:right w:val="single" w:color="E5E7EB" w:sz="1"/>
            </w:tcBorders>
            <w:shd w:fill="181818" w:val="clear"/>
            <w:tcMar>
              <w:top w:type="dxa" w:w="50"/>
              <w:left w:type="dxa" w:w="85"/>
              <w:bottom w:type="dxa" w:w="50"/>
              <w:right w:type="dxa" w:w="85"/>
            </w:tcMar>
          </w:tcPr>
          <w:p>
            <w:r>
              <w:rPr>
                <w:rFonts w:ascii="Tahoma" w:cs="Tahoma" w:eastAsia="Tahoma" w:hAnsi="Tahoma"/>
                <w:b/>
                <w:bCs/>
                <w:color w:val="FFFFFF"/>
                <w:sz w:val="16"/>
                <w:szCs w:val="16"/>
              </w:rPr>
              <w:t xml:space="preserve">Metric</w:t>
            </w:r>
          </w:p>
        </w:tc>
        <w:tc>
          <w:tcPr>
            <w:tcW w:type="dxa" w:w="3120"/>
            <w:tcBorders>
              <w:top w:val="single" w:color="E5E7EB" w:sz="1"/>
              <w:left w:val="single" w:color="E5E7EB" w:sz="1"/>
              <w:bottom w:val="single" w:color="E5E7EB" w:sz="1"/>
              <w:right w:val="single" w:color="E5E7EB" w:sz="1"/>
            </w:tcBorders>
            <w:shd w:fill="181818" w:val="clear"/>
            <w:tcMar>
              <w:top w:type="dxa" w:w="50"/>
              <w:left w:type="dxa" w:w="85"/>
              <w:bottom w:type="dxa" w:w="50"/>
              <w:right w:type="dxa" w:w="85"/>
            </w:tcMar>
          </w:tcPr>
          <w:p>
            <w:r>
              <w:rPr>
                <w:rFonts w:ascii="Tahoma" w:cs="Tahoma" w:eastAsia="Tahoma" w:hAnsi="Tahoma"/>
                <w:b/>
                <w:bCs/>
                <w:color w:val="FFFFFF"/>
                <w:sz w:val="16"/>
                <w:szCs w:val="16"/>
              </w:rPr>
              <w:t xml:space="preserve">Traditional Outbound</w:t>
            </w:r>
          </w:p>
        </w:tc>
        <w:tc>
          <w:tcPr>
            <w:tcW w:type="dxa" w:w="3120"/>
            <w:tcBorders>
              <w:top w:val="single" w:color="E5E7EB" w:sz="1"/>
              <w:left w:val="single" w:color="E5E7EB" w:sz="1"/>
              <w:bottom w:val="single" w:color="E5E7EB" w:sz="1"/>
              <w:right w:val="single" w:color="E5E7EB" w:sz="1"/>
            </w:tcBorders>
            <w:shd w:fill="181818" w:val="clear"/>
            <w:tcMar>
              <w:top w:type="dxa" w:w="50"/>
              <w:left w:type="dxa" w:w="85"/>
              <w:bottom w:type="dxa" w:w="50"/>
              <w:right w:type="dxa" w:w="85"/>
            </w:tcMar>
          </w:tcPr>
          <w:p>
            <w:r>
              <w:rPr>
                <w:rFonts w:ascii="Tahoma" w:cs="Tahoma" w:eastAsia="Tahoma" w:hAnsi="Tahoma"/>
                <w:b/>
                <w:bCs/>
                <w:color w:val="FFFFFF"/>
                <w:sz w:val="16"/>
                <w:szCs w:val="16"/>
              </w:rPr>
              <w:t xml:space="preserve">Lead Machine Target</w:t>
            </w:r>
          </w:p>
        </w:tc>
      </w:tr>
      <w:tr>
        <w:tc>
          <w:tcPr>
            <w:tcW w:type="dxa" w:w="3600"/>
            <w:tcBorders>
              <w:top w:val="single" w:color="E5E7EB" w:sz="1"/>
              <w:left w:val="single" w:color="E5E7EB" w:sz="1"/>
              <w:bottom w:val="single" w:color="E5E7EB" w:sz="1"/>
              <w:right w:val="single" w:color="E5E7EB" w:sz="1"/>
            </w:tcBorders>
            <w:shd w:fill="FFFFFF" w:val="clear"/>
            <w:tcMar>
              <w:top w:type="dxa" w:w="50"/>
              <w:left w:type="dxa" w:w="85"/>
              <w:bottom w:type="dxa" w:w="50"/>
              <w:right w:type="dxa" w:w="85"/>
            </w:tcMar>
          </w:tcPr>
          <w:p>
            <w:r>
              <w:rPr>
                <w:rFonts w:ascii="Tahoma" w:cs="Tahoma" w:eastAsia="Tahoma" w:hAnsi="Tahoma"/>
                <w:color w:val="2D2D2D"/>
                <w:sz w:val="16"/>
                <w:szCs w:val="16"/>
              </w:rPr>
              <w:t xml:space="preserve">Open rate</w:t>
            </w:r>
          </w:p>
        </w:tc>
        <w:tc>
          <w:tcPr>
            <w:tcW w:type="dxa" w:w="3120"/>
            <w:tcBorders>
              <w:top w:val="single" w:color="E5E7EB" w:sz="1"/>
              <w:left w:val="single" w:color="E5E7EB" w:sz="1"/>
              <w:bottom w:val="single" w:color="E5E7EB" w:sz="1"/>
              <w:right w:val="single" w:color="E5E7EB" w:sz="1"/>
            </w:tcBorders>
            <w:shd w:fill="FFFFFF" w:val="clear"/>
            <w:tcMar>
              <w:top w:type="dxa" w:w="50"/>
              <w:left w:type="dxa" w:w="85"/>
              <w:bottom w:type="dxa" w:w="50"/>
              <w:right w:type="dxa" w:w="85"/>
            </w:tcMar>
          </w:tcPr>
          <w:p>
            <w:r>
              <w:rPr>
                <w:rFonts w:ascii="Tahoma" w:cs="Tahoma" w:eastAsia="Tahoma" w:hAnsi="Tahoma"/>
                <w:color w:val="2D2D2D"/>
                <w:sz w:val="16"/>
                <w:szCs w:val="16"/>
              </w:rPr>
              <w:t xml:space="preserve">15–25%</w:t>
            </w:r>
          </w:p>
        </w:tc>
        <w:tc>
          <w:tcPr>
            <w:tcW w:type="dxa" w:w="3120"/>
            <w:tcBorders>
              <w:top w:val="single" w:color="E5E7EB" w:sz="1"/>
              <w:left w:val="single" w:color="E5E7EB" w:sz="1"/>
              <w:bottom w:val="single" w:color="E5E7EB" w:sz="1"/>
              <w:right w:val="single" w:color="E5E7EB" w:sz="1"/>
            </w:tcBorders>
            <w:shd w:fill="FFFFFF" w:val="clear"/>
            <w:tcMar>
              <w:top w:type="dxa" w:w="50"/>
              <w:left w:type="dxa" w:w="85"/>
              <w:bottom w:type="dxa" w:w="50"/>
              <w:right w:type="dxa" w:w="85"/>
            </w:tcMar>
          </w:tcPr>
          <w:p>
            <w:r>
              <w:rPr>
                <w:rFonts w:ascii="Tahoma" w:cs="Tahoma" w:eastAsia="Tahoma" w:hAnsi="Tahoma"/>
                <w:b/>
                <w:bCs/>
                <w:color w:val="2D2D2D"/>
                <w:sz w:val="16"/>
                <w:szCs w:val="16"/>
              </w:rPr>
              <w:t xml:space="preserve">&gt;35%</w:t>
            </w:r>
          </w:p>
        </w:tc>
      </w:tr>
      <w:tr>
        <w:tc>
          <w:tcPr>
            <w:tcW w:type="dxa" w:w="3600"/>
            <w:tcBorders>
              <w:top w:val="single" w:color="E5E7EB" w:sz="1"/>
              <w:left w:val="single" w:color="E5E7EB" w:sz="1"/>
              <w:bottom w:val="single" w:color="E5E7EB" w:sz="1"/>
              <w:right w:val="single" w:color="E5E7EB" w:sz="1"/>
            </w:tcBorders>
            <w:shd w:fill="FFFFFF" w:val="clear"/>
            <w:tcMar>
              <w:top w:type="dxa" w:w="50"/>
              <w:left w:type="dxa" w:w="85"/>
              <w:bottom w:type="dxa" w:w="50"/>
              <w:right w:type="dxa" w:w="85"/>
            </w:tcMar>
          </w:tcPr>
          <w:p>
            <w:r>
              <w:rPr>
                <w:rFonts w:ascii="Tahoma" w:cs="Tahoma" w:eastAsia="Tahoma" w:hAnsi="Tahoma"/>
                <w:color w:val="2D2D2D"/>
                <w:sz w:val="16"/>
                <w:szCs w:val="16"/>
              </w:rPr>
              <w:t xml:space="preserve">Positive reply rate</w:t>
            </w:r>
          </w:p>
        </w:tc>
        <w:tc>
          <w:tcPr>
            <w:tcW w:type="dxa" w:w="3120"/>
            <w:tcBorders>
              <w:top w:val="single" w:color="E5E7EB" w:sz="1"/>
              <w:left w:val="single" w:color="E5E7EB" w:sz="1"/>
              <w:bottom w:val="single" w:color="E5E7EB" w:sz="1"/>
              <w:right w:val="single" w:color="E5E7EB" w:sz="1"/>
            </w:tcBorders>
            <w:shd w:fill="FFFFFF" w:val="clear"/>
            <w:tcMar>
              <w:top w:type="dxa" w:w="50"/>
              <w:left w:type="dxa" w:w="85"/>
              <w:bottom w:type="dxa" w:w="50"/>
              <w:right w:type="dxa" w:w="85"/>
            </w:tcMar>
          </w:tcPr>
          <w:p>
            <w:r>
              <w:rPr>
                <w:rFonts w:ascii="Tahoma" w:cs="Tahoma" w:eastAsia="Tahoma" w:hAnsi="Tahoma"/>
                <w:color w:val="2D2D2D"/>
                <w:sz w:val="16"/>
                <w:szCs w:val="16"/>
              </w:rPr>
              <w:t xml:space="preserve">1–2%</w:t>
            </w:r>
          </w:p>
        </w:tc>
        <w:tc>
          <w:tcPr>
            <w:tcW w:type="dxa" w:w="3120"/>
            <w:tcBorders>
              <w:top w:val="single" w:color="E5E7EB" w:sz="1"/>
              <w:left w:val="single" w:color="E5E7EB" w:sz="1"/>
              <w:bottom w:val="single" w:color="E5E7EB" w:sz="1"/>
              <w:right w:val="single" w:color="E5E7EB" w:sz="1"/>
            </w:tcBorders>
            <w:shd w:fill="FFFFFF" w:val="clear"/>
            <w:tcMar>
              <w:top w:type="dxa" w:w="50"/>
              <w:left w:type="dxa" w:w="85"/>
              <w:bottom w:type="dxa" w:w="50"/>
              <w:right w:type="dxa" w:w="85"/>
            </w:tcMar>
          </w:tcPr>
          <w:p>
            <w:r>
              <w:rPr>
                <w:rFonts w:ascii="Tahoma" w:cs="Tahoma" w:eastAsia="Tahoma" w:hAnsi="Tahoma"/>
                <w:b/>
                <w:bCs/>
                <w:color w:val="2D2D2D"/>
                <w:sz w:val="16"/>
                <w:szCs w:val="16"/>
              </w:rPr>
              <w:t xml:space="preserve">3–5%</w:t>
            </w:r>
          </w:p>
        </w:tc>
      </w:tr>
      <w:tr>
        <w:tc>
          <w:tcPr>
            <w:tcW w:type="dxa" w:w="3600"/>
            <w:tcBorders>
              <w:top w:val="single" w:color="E5E7EB" w:sz="1"/>
              <w:left w:val="single" w:color="E5E7EB" w:sz="1"/>
              <w:bottom w:val="single" w:color="E5E7EB" w:sz="1"/>
              <w:right w:val="single" w:color="E5E7EB" w:sz="1"/>
            </w:tcBorders>
            <w:shd w:fill="FFFFFF" w:val="clear"/>
            <w:tcMar>
              <w:top w:type="dxa" w:w="50"/>
              <w:left w:type="dxa" w:w="85"/>
              <w:bottom w:type="dxa" w:w="50"/>
              <w:right w:type="dxa" w:w="85"/>
            </w:tcMar>
          </w:tcPr>
          <w:p>
            <w:r>
              <w:rPr>
                <w:rFonts w:ascii="Tahoma" w:cs="Tahoma" w:eastAsia="Tahoma" w:hAnsi="Tahoma"/>
                <w:color w:val="2D2D2D"/>
                <w:sz w:val="16"/>
                <w:szCs w:val="16"/>
              </w:rPr>
              <w:t xml:space="preserve">Meeting conversion (from reply)</w:t>
            </w:r>
          </w:p>
        </w:tc>
        <w:tc>
          <w:tcPr>
            <w:tcW w:type="dxa" w:w="3120"/>
            <w:tcBorders>
              <w:top w:val="single" w:color="E5E7EB" w:sz="1"/>
              <w:left w:val="single" w:color="E5E7EB" w:sz="1"/>
              <w:bottom w:val="single" w:color="E5E7EB" w:sz="1"/>
              <w:right w:val="single" w:color="E5E7EB" w:sz="1"/>
            </w:tcBorders>
            <w:shd w:fill="FFFFFF" w:val="clear"/>
            <w:tcMar>
              <w:top w:type="dxa" w:w="50"/>
              <w:left w:type="dxa" w:w="85"/>
              <w:bottom w:type="dxa" w:w="50"/>
              <w:right w:type="dxa" w:w="85"/>
            </w:tcMar>
          </w:tcPr>
          <w:p>
            <w:r>
              <w:rPr>
                <w:rFonts w:ascii="Tahoma" w:cs="Tahoma" w:eastAsia="Tahoma" w:hAnsi="Tahoma"/>
                <w:color w:val="2D2D2D"/>
                <w:sz w:val="16"/>
                <w:szCs w:val="16"/>
              </w:rPr>
              <w:t xml:space="preserve">20–30%</w:t>
            </w:r>
          </w:p>
        </w:tc>
        <w:tc>
          <w:tcPr>
            <w:tcW w:type="dxa" w:w="3120"/>
            <w:tcBorders>
              <w:top w:val="single" w:color="E5E7EB" w:sz="1"/>
              <w:left w:val="single" w:color="E5E7EB" w:sz="1"/>
              <w:bottom w:val="single" w:color="E5E7EB" w:sz="1"/>
              <w:right w:val="single" w:color="E5E7EB" w:sz="1"/>
            </w:tcBorders>
            <w:shd w:fill="FFFFFF" w:val="clear"/>
            <w:tcMar>
              <w:top w:type="dxa" w:w="50"/>
              <w:left w:type="dxa" w:w="85"/>
              <w:bottom w:type="dxa" w:w="50"/>
              <w:right w:type="dxa" w:w="85"/>
            </w:tcMar>
          </w:tcPr>
          <w:p>
            <w:r>
              <w:rPr>
                <w:rFonts w:ascii="Tahoma" w:cs="Tahoma" w:eastAsia="Tahoma" w:hAnsi="Tahoma"/>
                <w:b/>
                <w:bCs/>
                <w:color w:val="2D2D2D"/>
                <w:sz w:val="16"/>
                <w:szCs w:val="16"/>
              </w:rPr>
              <w:t xml:space="preserve">&gt;40%</w:t>
            </w:r>
          </w:p>
        </w:tc>
      </w:tr>
      <w:tr>
        <w:tc>
          <w:tcPr>
            <w:tcW w:type="dxa" w:w="3600"/>
            <w:tcBorders>
              <w:top w:val="single" w:color="E5E7EB" w:sz="1"/>
              <w:left w:val="single" w:color="E5E7EB" w:sz="1"/>
              <w:bottom w:val="single" w:color="E5E7EB" w:sz="1"/>
              <w:right w:val="single" w:color="E5E7EB" w:sz="1"/>
            </w:tcBorders>
            <w:shd w:fill="FFFFFF" w:val="clear"/>
            <w:tcMar>
              <w:top w:type="dxa" w:w="50"/>
              <w:left w:type="dxa" w:w="85"/>
              <w:bottom w:type="dxa" w:w="50"/>
              <w:right w:type="dxa" w:w="85"/>
            </w:tcMar>
          </w:tcPr>
          <w:p>
            <w:r>
              <w:rPr>
                <w:rFonts w:ascii="Tahoma" w:cs="Tahoma" w:eastAsia="Tahoma" w:hAnsi="Tahoma"/>
                <w:color w:val="2D2D2D"/>
                <w:sz w:val="16"/>
                <w:szCs w:val="16"/>
              </w:rPr>
              <w:t xml:space="preserve">Time-to-qualified (days)</w:t>
            </w:r>
          </w:p>
        </w:tc>
        <w:tc>
          <w:tcPr>
            <w:tcW w:type="dxa" w:w="3120"/>
            <w:tcBorders>
              <w:top w:val="single" w:color="E5E7EB" w:sz="1"/>
              <w:left w:val="single" w:color="E5E7EB" w:sz="1"/>
              <w:bottom w:val="single" w:color="E5E7EB" w:sz="1"/>
              <w:right w:val="single" w:color="E5E7EB" w:sz="1"/>
            </w:tcBorders>
            <w:shd w:fill="FFFFFF" w:val="clear"/>
            <w:tcMar>
              <w:top w:type="dxa" w:w="50"/>
              <w:left w:type="dxa" w:w="85"/>
              <w:bottom w:type="dxa" w:w="50"/>
              <w:right w:type="dxa" w:w="85"/>
            </w:tcMar>
          </w:tcPr>
          <w:p>
            <w:r>
              <w:rPr>
                <w:rFonts w:ascii="Tahoma" w:cs="Tahoma" w:eastAsia="Tahoma" w:hAnsi="Tahoma"/>
                <w:color w:val="2D2D2D"/>
                <w:sz w:val="16"/>
                <w:szCs w:val="16"/>
              </w:rPr>
              <w:t xml:space="preserve">45–60</w:t>
            </w:r>
          </w:p>
        </w:tc>
        <w:tc>
          <w:tcPr>
            <w:tcW w:type="dxa" w:w="3120"/>
            <w:tcBorders>
              <w:top w:val="single" w:color="E5E7EB" w:sz="1"/>
              <w:left w:val="single" w:color="E5E7EB" w:sz="1"/>
              <w:bottom w:val="single" w:color="E5E7EB" w:sz="1"/>
              <w:right w:val="single" w:color="E5E7EB" w:sz="1"/>
            </w:tcBorders>
            <w:shd w:fill="FFFFFF" w:val="clear"/>
            <w:tcMar>
              <w:top w:type="dxa" w:w="50"/>
              <w:left w:type="dxa" w:w="85"/>
              <w:bottom w:type="dxa" w:w="50"/>
              <w:right w:type="dxa" w:w="85"/>
            </w:tcMar>
          </w:tcPr>
          <w:p>
            <w:r>
              <w:rPr>
                <w:rFonts w:ascii="Tahoma" w:cs="Tahoma" w:eastAsia="Tahoma" w:hAnsi="Tahoma"/>
                <w:b/>
                <w:bCs/>
                <w:color w:val="2D2D2D"/>
                <w:sz w:val="16"/>
                <w:szCs w:val="16"/>
              </w:rPr>
              <w:t xml:space="preserve">&lt;30</w:t>
            </w:r>
          </w:p>
        </w:tc>
      </w:tr>
    </w:tbl>
    <w:p>
      <w:pPr>
        <w:spacing w:after="30"/>
      </w:pPr>
    </w:p>
    <w:p>
      <w:pPr>
        <w:spacing w:after="50" w:before="140"/>
      </w:pPr>
      <w:r>
        <w:rPr>
          <w:rFonts w:ascii="Tahoma" w:cs="Tahoma" w:eastAsia="Tahoma" w:hAnsi="Tahoma"/>
          <w:b/>
          <w:bCs/>
          <w:color w:val="181818"/>
          <w:sz w:val="19"/>
          <w:szCs w:val="19"/>
        </w:rPr>
        <w:t xml:space="preserve">Efficiency Gains vs. Traditional Outbound</w:t>
      </w:r>
    </w:p>
    <w:p>
      <w:pPr>
        <w:pStyle w:val="ListParagraph"/>
        <w:numPr>
          <w:ilvl w:val="0"/>
          <w:numId w:val="2"/>
        </w:numPr>
        <w:spacing w:after="45" w:line="252"/>
      </w:pPr>
      <w:r>
        <w:rPr>
          <w:rFonts w:ascii="Tahoma" w:cs="Tahoma" w:eastAsia="Tahoma" w:hAnsi="Tahoma"/>
          <w:color w:val="2D2D2D"/>
          <w:sz w:val="18"/>
          <w:szCs w:val="18"/>
        </w:rPr>
        <w:t xml:space="preserve">Account research: from 15–20 min manual to &lt;1 min automated (scan + AI summary).</w:t>
      </w:r>
    </w:p>
    <w:p>
      <w:pPr>
        <w:pStyle w:val="ListParagraph"/>
        <w:numPr>
          <w:ilvl w:val="0"/>
          <w:numId w:val="2"/>
        </w:numPr>
        <w:spacing w:after="45" w:line="252"/>
      </w:pPr>
      <w:r>
        <w:rPr>
          <w:rFonts w:ascii="Tahoma" w:cs="Tahoma" w:eastAsia="Tahoma" w:hAnsi="Tahoma"/>
          <w:color w:val="2D2D2D"/>
          <w:sz w:val="18"/>
          <w:szCs w:val="18"/>
        </w:rPr>
        <w:t xml:space="preserve">Personalization at scale: AI generates tailored email content per contact, eliminating the copy bottleneck that kills traditional outbound velocity.</w:t>
      </w:r>
    </w:p>
    <w:p>
      <w:pPr>
        <w:pStyle w:val="ListParagraph"/>
        <w:numPr>
          <w:ilvl w:val="0"/>
          <w:numId w:val="2"/>
        </w:numPr>
        <w:spacing w:after="45" w:line="252"/>
      </w:pPr>
      <w:r>
        <w:rPr>
          <w:rFonts w:ascii="Tahoma" w:cs="Tahoma" w:eastAsia="Tahoma" w:hAnsi="Tahoma"/>
          <w:color w:val="2D2D2D"/>
          <w:sz w:val="18"/>
          <w:szCs w:val="18"/>
        </w:rPr>
        <w:t xml:space="preserve">BDR leverage: each rep manages 3–5x more accounts vs. traditional outbound workflows.</w:t>
      </w:r>
    </w:p>
    <w:p>
      <w:pPr>
        <w:pStyle w:val="ListParagraph"/>
        <w:numPr>
          <w:ilvl w:val="0"/>
          <w:numId w:val="2"/>
        </w:numPr>
        <w:spacing w:after="45" w:line="252"/>
      </w:pPr>
      <w:r>
        <w:rPr>
          <w:rFonts w:ascii="Tahoma" w:cs="Tahoma" w:eastAsia="Tahoma" w:hAnsi="Tahoma"/>
          <w:color w:val="2D2D2D"/>
          <w:sz w:val="18"/>
          <w:szCs w:val="18"/>
        </w:rPr>
        <w:t xml:space="preserve">AE activation: AEs run campaigns from Lead Machine without learning Apollo. Zero ramp time.</w:t>
      </w:r>
    </w:p>
    <w:p>
      <w:pPr>
        <w:pBdr>
          <w:bottom w:val="single" w:color="03EAB3" w:sz="4" w:space="5"/>
        </w:pBdr>
        <w:spacing w:after="70" w:before="200"/>
      </w:pPr>
      <w:r>
        <w:rPr>
          <w:rFonts w:ascii="Tahoma" w:cs="Tahoma" w:eastAsia="Tahoma" w:hAnsi="Tahoma"/>
          <w:b/>
          <w:bCs/>
          <w:color w:val="181818"/>
          <w:spacing w:val="80"/>
          <w:sz w:val="22"/>
          <w:szCs w:val="22"/>
        </w:rPr>
        <w:t xml:space="preserve">OUTREACH MODEL</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640"/>
      </w:tblGrid>
      <w:tr>
        <w:tc>
          <w:tcPr>
            <w:tcW w:type="dxa" w:w="1600"/>
            <w:tcBorders>
              <w:top w:val="single" w:color="E5E7EB" w:sz="1"/>
              <w:left w:val="single" w:color="E5E7EB" w:sz="1"/>
              <w:bottom w:val="single" w:color="E5E7EB" w:sz="1"/>
              <w:right w:val="single" w:color="E5E7EB" w:sz="1"/>
            </w:tcBorders>
            <w:shd w:fill="181818" w:val="clear"/>
            <w:tcMar>
              <w:top w:type="dxa" w:w="50"/>
              <w:left w:type="dxa" w:w="85"/>
              <w:bottom w:type="dxa" w:w="50"/>
              <w:right w:type="dxa" w:w="85"/>
            </w:tcMar>
          </w:tcPr>
          <w:p>
            <w:r>
              <w:rPr>
                <w:rFonts w:ascii="Tahoma" w:cs="Tahoma" w:eastAsia="Tahoma" w:hAnsi="Tahoma"/>
                <w:b/>
                <w:bCs/>
                <w:color w:val="FFFFFF"/>
                <w:sz w:val="16"/>
                <w:szCs w:val="16"/>
              </w:rPr>
              <w:t xml:space="preserve">Role</w:t>
            </w:r>
          </w:p>
        </w:tc>
        <w:tc>
          <w:tcPr>
            <w:tcW w:type="dxa" w:w="3600"/>
            <w:tcBorders>
              <w:top w:val="single" w:color="E5E7EB" w:sz="1"/>
              <w:left w:val="single" w:color="E5E7EB" w:sz="1"/>
              <w:bottom w:val="single" w:color="E5E7EB" w:sz="1"/>
              <w:right w:val="single" w:color="E5E7EB" w:sz="1"/>
            </w:tcBorders>
            <w:shd w:fill="181818" w:val="clear"/>
            <w:tcMar>
              <w:top w:type="dxa" w:w="50"/>
              <w:left w:type="dxa" w:w="85"/>
              <w:bottom w:type="dxa" w:w="50"/>
              <w:right w:type="dxa" w:w="85"/>
            </w:tcMar>
          </w:tcPr>
          <w:p>
            <w:r>
              <w:rPr>
                <w:rFonts w:ascii="Tahoma" w:cs="Tahoma" w:eastAsia="Tahoma" w:hAnsi="Tahoma"/>
                <w:b/>
                <w:bCs/>
                <w:color w:val="FFFFFF"/>
                <w:sz w:val="16"/>
                <w:szCs w:val="16"/>
              </w:rPr>
              <w:t xml:space="preserve">Campaign Type</w:t>
            </w:r>
          </w:p>
        </w:tc>
        <w:tc>
          <w:tcPr>
            <w:tcW w:type="dxa" w:w="4640"/>
            <w:tcBorders>
              <w:top w:val="single" w:color="E5E7EB" w:sz="1"/>
              <w:left w:val="single" w:color="E5E7EB" w:sz="1"/>
              <w:bottom w:val="single" w:color="E5E7EB" w:sz="1"/>
              <w:right w:val="single" w:color="E5E7EB" w:sz="1"/>
            </w:tcBorders>
            <w:shd w:fill="181818" w:val="clear"/>
            <w:tcMar>
              <w:top w:type="dxa" w:w="50"/>
              <w:left w:type="dxa" w:w="85"/>
              <w:bottom w:type="dxa" w:w="50"/>
              <w:right w:type="dxa" w:w="85"/>
            </w:tcMar>
          </w:tcPr>
          <w:p>
            <w:r>
              <w:rPr>
                <w:rFonts w:ascii="Tahoma" w:cs="Tahoma" w:eastAsia="Tahoma" w:hAnsi="Tahoma"/>
                <w:b/>
                <w:bCs/>
                <w:color w:val="FFFFFF"/>
                <w:sz w:val="16"/>
                <w:szCs w:val="16"/>
              </w:rPr>
              <w:t xml:space="preserve">Motion</w:t>
            </w:r>
          </w:p>
        </w:tc>
      </w:tr>
      <w:tr>
        <w:tc>
          <w:tcPr>
            <w:tcW w:type="dxa" w:w="1600"/>
            <w:tcBorders>
              <w:top w:val="single" w:color="E5E7EB" w:sz="1"/>
              <w:left w:val="single" w:color="E5E7EB" w:sz="1"/>
              <w:bottom w:val="single" w:color="E5E7EB" w:sz="1"/>
              <w:right w:val="single" w:color="E5E7EB" w:sz="1"/>
            </w:tcBorders>
            <w:shd w:fill="FFFFFF" w:val="clear"/>
            <w:tcMar>
              <w:top w:type="dxa" w:w="50"/>
              <w:left w:type="dxa" w:w="85"/>
              <w:bottom w:type="dxa" w:w="50"/>
              <w:right w:type="dxa" w:w="85"/>
            </w:tcMar>
          </w:tcPr>
          <w:p>
            <w:r>
              <w:rPr>
                <w:rFonts w:ascii="Tahoma" w:cs="Tahoma" w:eastAsia="Tahoma" w:hAnsi="Tahoma"/>
                <w:b/>
                <w:bCs/>
                <w:color w:val="2D2D2D"/>
                <w:sz w:val="16"/>
                <w:szCs w:val="16"/>
              </w:rPr>
              <w:t xml:space="preserve">BDRs</w:t>
            </w:r>
          </w:p>
        </w:tc>
        <w:tc>
          <w:tcPr>
            <w:tcW w:type="dxa" w:w="3600"/>
            <w:tcBorders>
              <w:top w:val="single" w:color="E5E7EB" w:sz="1"/>
              <w:left w:val="single" w:color="E5E7EB" w:sz="1"/>
              <w:bottom w:val="single" w:color="E5E7EB" w:sz="1"/>
              <w:right w:val="single" w:color="E5E7EB" w:sz="1"/>
            </w:tcBorders>
            <w:shd w:fill="FFFFFF" w:val="clear"/>
            <w:tcMar>
              <w:top w:type="dxa" w:w="50"/>
              <w:left w:type="dxa" w:w="85"/>
              <w:bottom w:type="dxa" w:w="50"/>
              <w:right w:type="dxa" w:w="85"/>
            </w:tcMar>
          </w:tcPr>
          <w:p>
            <w:r>
              <w:rPr>
                <w:rFonts w:ascii="Tahoma" w:cs="Tahoma" w:eastAsia="Tahoma" w:hAnsi="Tahoma"/>
                <w:color w:val="2D2D2D"/>
                <w:sz w:val="16"/>
                <w:szCs w:val="16"/>
              </w:rPr>
              <w:t xml:space="preserve">RepoRadar, LinkedIn Prospector, Grow imports</w:t>
            </w:r>
          </w:p>
        </w:tc>
        <w:tc>
          <w:tcPr>
            <w:tcW w:type="dxa" w:w="4640"/>
            <w:tcBorders>
              <w:top w:val="single" w:color="E5E7EB" w:sz="1"/>
              <w:left w:val="single" w:color="E5E7EB" w:sz="1"/>
              <w:bottom w:val="single" w:color="E5E7EB" w:sz="1"/>
              <w:right w:val="single" w:color="E5E7EB" w:sz="1"/>
            </w:tcBorders>
            <w:shd w:fill="FFFFFF" w:val="clear"/>
            <w:tcMar>
              <w:top w:type="dxa" w:w="50"/>
              <w:left w:type="dxa" w:w="85"/>
              <w:bottom w:type="dxa" w:w="50"/>
              <w:right w:type="dxa" w:w="85"/>
            </w:tcMar>
          </w:tcPr>
          <w:p>
            <w:r>
              <w:rPr>
                <w:rFonts w:ascii="Tahoma" w:cs="Tahoma" w:eastAsia="Tahoma" w:hAnsi="Tahoma"/>
                <w:color w:val="2D2D2D"/>
                <w:sz w:val="16"/>
                <w:szCs w:val="16"/>
              </w:rPr>
              <w:t xml:space="preserve">High-volume targeted outbound. Operate the machine daily, enroll high-intent accounts.</w:t>
            </w:r>
          </w:p>
        </w:tc>
      </w:tr>
      <w:tr>
        <w:tc>
          <w:tcPr>
            <w:tcW w:type="dxa" w:w="1600"/>
            <w:tcBorders>
              <w:top w:val="single" w:color="E5E7EB" w:sz="1"/>
              <w:left w:val="single" w:color="E5E7EB" w:sz="1"/>
              <w:bottom w:val="single" w:color="E5E7EB" w:sz="1"/>
              <w:right w:val="single" w:color="E5E7EB" w:sz="1"/>
            </w:tcBorders>
            <w:shd w:fill="FFFFFF" w:val="clear"/>
            <w:tcMar>
              <w:top w:type="dxa" w:w="50"/>
              <w:left w:type="dxa" w:w="85"/>
              <w:bottom w:type="dxa" w:w="50"/>
              <w:right w:type="dxa" w:w="85"/>
            </w:tcMar>
          </w:tcPr>
          <w:p>
            <w:r>
              <w:rPr>
                <w:rFonts w:ascii="Tahoma" w:cs="Tahoma" w:eastAsia="Tahoma" w:hAnsi="Tahoma"/>
                <w:b/>
                <w:bCs/>
                <w:color w:val="2D2D2D"/>
                <w:sz w:val="16"/>
                <w:szCs w:val="16"/>
              </w:rPr>
              <w:t xml:space="preserve">AEs</w:t>
            </w:r>
          </w:p>
        </w:tc>
        <w:tc>
          <w:tcPr>
            <w:tcW w:type="dxa" w:w="3600"/>
            <w:tcBorders>
              <w:top w:val="single" w:color="E5E7EB" w:sz="1"/>
              <w:left w:val="single" w:color="E5E7EB" w:sz="1"/>
              <w:bottom w:val="single" w:color="E5E7EB" w:sz="1"/>
              <w:right w:val="single" w:color="E5E7EB" w:sz="1"/>
            </w:tcBorders>
            <w:shd w:fill="FFFFFF" w:val="clear"/>
            <w:tcMar>
              <w:top w:type="dxa" w:w="50"/>
              <w:left w:type="dxa" w:w="85"/>
              <w:bottom w:type="dxa" w:w="50"/>
              <w:right w:type="dxa" w:w="85"/>
            </w:tcMar>
          </w:tcPr>
          <w:p>
            <w:r>
              <w:rPr>
                <w:rFonts w:ascii="Tahoma" w:cs="Tahoma" w:eastAsia="Tahoma" w:hAnsi="Tahoma"/>
                <w:color w:val="2D2D2D"/>
                <w:sz w:val="16"/>
                <w:szCs w:val="16"/>
              </w:rPr>
              <w:t xml:space="preserve">Customer expansion, video localization, Phrase Studio</w:t>
            </w:r>
          </w:p>
        </w:tc>
        <w:tc>
          <w:tcPr>
            <w:tcW w:type="dxa" w:w="4640"/>
            <w:tcBorders>
              <w:top w:val="single" w:color="E5E7EB" w:sz="1"/>
              <w:left w:val="single" w:color="E5E7EB" w:sz="1"/>
              <w:bottom w:val="single" w:color="E5E7EB" w:sz="1"/>
              <w:right w:val="single" w:color="E5E7EB" w:sz="1"/>
            </w:tcBorders>
            <w:shd w:fill="FFFFFF" w:val="clear"/>
            <w:tcMar>
              <w:top w:type="dxa" w:w="50"/>
              <w:left w:type="dxa" w:w="85"/>
              <w:bottom w:type="dxa" w:w="50"/>
              <w:right w:type="dxa" w:w="85"/>
            </w:tcMar>
          </w:tcPr>
          <w:p>
            <w:r>
              <w:rPr>
                <w:rFonts w:ascii="Tahoma" w:cs="Tahoma" w:eastAsia="Tahoma" w:hAnsi="Tahoma"/>
                <w:color w:val="2D2D2D"/>
                <w:sz w:val="16"/>
                <w:szCs w:val="16"/>
              </w:rPr>
              <w:t xml:space="preserve">AE-led campaigns from the Lead Machine UI. Never open Apollo. Focus on selling, not tooling.</w:t>
            </w:r>
          </w:p>
        </w:tc>
      </w:tr>
      <w:tr>
        <w:tc>
          <w:tcPr>
            <w:tcW w:type="dxa" w:w="1600"/>
            <w:tcBorders>
              <w:top w:val="single" w:color="E5E7EB" w:sz="1"/>
              <w:left w:val="single" w:color="E5E7EB" w:sz="1"/>
              <w:bottom w:val="single" w:color="E5E7EB" w:sz="1"/>
              <w:right w:val="single" w:color="E5E7EB" w:sz="1"/>
            </w:tcBorders>
            <w:shd w:fill="FFFFFF" w:val="clear"/>
            <w:tcMar>
              <w:top w:type="dxa" w:w="50"/>
              <w:left w:type="dxa" w:w="85"/>
              <w:bottom w:type="dxa" w:w="50"/>
              <w:right w:type="dxa" w:w="85"/>
            </w:tcMar>
          </w:tcPr>
          <w:p>
            <w:r>
              <w:rPr>
                <w:rFonts w:ascii="Tahoma" w:cs="Tahoma" w:eastAsia="Tahoma" w:hAnsi="Tahoma"/>
                <w:b/>
                <w:bCs/>
                <w:color w:val="2D2D2D"/>
                <w:sz w:val="16"/>
                <w:szCs w:val="16"/>
              </w:rPr>
              <w:t xml:space="preserve">Leadership</w:t>
            </w:r>
          </w:p>
        </w:tc>
        <w:tc>
          <w:tcPr>
            <w:tcW w:type="dxa" w:w="3600"/>
            <w:tcBorders>
              <w:top w:val="single" w:color="E5E7EB" w:sz="1"/>
              <w:left w:val="single" w:color="E5E7EB" w:sz="1"/>
              <w:bottom w:val="single" w:color="E5E7EB" w:sz="1"/>
              <w:right w:val="single" w:color="E5E7EB" w:sz="1"/>
            </w:tcBorders>
            <w:shd w:fill="FFFFFF" w:val="clear"/>
            <w:tcMar>
              <w:top w:type="dxa" w:w="50"/>
              <w:left w:type="dxa" w:w="85"/>
              <w:bottom w:type="dxa" w:w="50"/>
              <w:right w:type="dxa" w:w="85"/>
            </w:tcMar>
          </w:tcPr>
          <w:p>
            <w:r>
              <w:rPr>
                <w:rFonts w:ascii="Tahoma" w:cs="Tahoma" w:eastAsia="Tahoma" w:hAnsi="Tahoma"/>
                <w:color w:val="2D2D2D"/>
                <w:sz w:val="16"/>
                <w:szCs w:val="16"/>
              </w:rPr>
              <w:t xml:space="preserve">Peer-to-peer CXO outreach</w:t>
            </w:r>
          </w:p>
        </w:tc>
        <w:tc>
          <w:tcPr>
            <w:tcW w:type="dxa" w:w="4640"/>
            <w:tcBorders>
              <w:top w:val="single" w:color="E5E7EB" w:sz="1"/>
              <w:left w:val="single" w:color="E5E7EB" w:sz="1"/>
              <w:bottom w:val="single" w:color="E5E7EB" w:sz="1"/>
              <w:right w:val="single" w:color="E5E7EB" w:sz="1"/>
            </w:tcBorders>
            <w:shd w:fill="FFFFFF" w:val="clear"/>
            <w:tcMar>
              <w:top w:type="dxa" w:w="50"/>
              <w:left w:type="dxa" w:w="85"/>
              <w:bottom w:type="dxa" w:w="50"/>
              <w:right w:type="dxa" w:w="85"/>
            </w:tcMar>
          </w:tcPr>
          <w:p>
            <w:r>
              <w:rPr>
                <w:rFonts w:ascii="Tahoma" w:cs="Tahoma" w:eastAsia="Tahoma" w:hAnsi="Tahoma"/>
                <w:color w:val="2D2D2D"/>
                <w:sz w:val="16"/>
                <w:szCs w:val="16"/>
              </w:rPr>
              <w:t xml:space="preserve">Senior leaders (Semi, VP Sales, etc.) sending personalized messages to CROs, CTOs, VPs.</w:t>
            </w:r>
          </w:p>
        </w:tc>
      </w:tr>
    </w:tbl>
    <w:p>
      <w:r>
        <w:br w:type="page"/>
      </w:r>
    </w:p>
    <w:p>
      <w:pPr>
        <w:pBdr>
          <w:bottom w:val="single" w:color="03EAB3" w:sz="4" w:space="5"/>
        </w:pBdr>
        <w:spacing w:after="70" w:before="200"/>
      </w:pPr>
      <w:r>
        <w:rPr>
          <w:rFonts w:ascii="Tahoma" w:cs="Tahoma" w:eastAsia="Tahoma" w:hAnsi="Tahoma"/>
          <w:b/>
          <w:bCs/>
          <w:color w:val="181818"/>
          <w:spacing w:val="80"/>
          <w:sz w:val="22"/>
          <w:szCs w:val="22"/>
        </w:rPr>
        <w:t xml:space="preserve">RISKS &amp; MITIGATIONS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E5E7EB" w:sz="1"/>
              <w:left w:val="single" w:color="E5E7EB" w:sz="1"/>
              <w:bottom w:val="single" w:color="E5E7EB" w:sz="1"/>
              <w:right w:val="single" w:color="E5E7EB" w:sz="1"/>
            </w:tcBorders>
            <w:shd w:fill="181818" w:val="clear"/>
            <w:tcMar>
              <w:top w:type="dxa" w:w="50"/>
              <w:left w:type="dxa" w:w="85"/>
              <w:bottom w:type="dxa" w:w="50"/>
              <w:right w:type="dxa" w:w="85"/>
            </w:tcMar>
          </w:tcPr>
          <w:p>
            <w:r>
              <w:rPr>
                <w:rFonts w:ascii="Tahoma" w:cs="Tahoma" w:eastAsia="Tahoma" w:hAnsi="Tahoma"/>
                <w:b/>
                <w:bCs/>
                <w:color w:val="FFFFFF"/>
                <w:sz w:val="16"/>
                <w:szCs w:val="16"/>
              </w:rPr>
              <w:t xml:space="preserve">Risk</w:t>
            </w:r>
          </w:p>
        </w:tc>
        <w:tc>
          <w:tcPr>
            <w:tcW w:type="dxa" w:w="3280"/>
            <w:tcBorders>
              <w:top w:val="single" w:color="E5E7EB" w:sz="1"/>
              <w:left w:val="single" w:color="E5E7EB" w:sz="1"/>
              <w:bottom w:val="single" w:color="E5E7EB" w:sz="1"/>
              <w:right w:val="single" w:color="E5E7EB" w:sz="1"/>
            </w:tcBorders>
            <w:shd w:fill="181818" w:val="clear"/>
            <w:tcMar>
              <w:top w:type="dxa" w:w="50"/>
              <w:left w:type="dxa" w:w="85"/>
              <w:bottom w:type="dxa" w:w="50"/>
              <w:right w:type="dxa" w:w="85"/>
            </w:tcMar>
          </w:tcPr>
          <w:p>
            <w:r>
              <w:rPr>
                <w:rFonts w:ascii="Tahoma" w:cs="Tahoma" w:eastAsia="Tahoma" w:hAnsi="Tahoma"/>
                <w:b/>
                <w:bCs/>
                <w:color w:val="FFFFFF"/>
                <w:sz w:val="16"/>
                <w:szCs w:val="16"/>
              </w:rPr>
              <w:t xml:space="preserve">Impact</w:t>
            </w:r>
          </w:p>
        </w:tc>
        <w:tc>
          <w:tcPr>
            <w:tcW w:type="dxa" w:w="3280"/>
            <w:tcBorders>
              <w:top w:val="single" w:color="E5E7EB" w:sz="1"/>
              <w:left w:val="single" w:color="E5E7EB" w:sz="1"/>
              <w:bottom w:val="single" w:color="E5E7EB" w:sz="1"/>
              <w:right w:val="single" w:color="E5E7EB" w:sz="1"/>
            </w:tcBorders>
            <w:shd w:fill="181818" w:val="clear"/>
            <w:tcMar>
              <w:top w:type="dxa" w:w="50"/>
              <w:left w:type="dxa" w:w="85"/>
              <w:bottom w:type="dxa" w:w="50"/>
              <w:right w:type="dxa" w:w="85"/>
            </w:tcMar>
          </w:tcPr>
          <w:p>
            <w:r>
              <w:rPr>
                <w:rFonts w:ascii="Tahoma" w:cs="Tahoma" w:eastAsia="Tahoma" w:hAnsi="Tahoma"/>
                <w:b/>
                <w:bCs/>
                <w:color w:val="FFFFFF"/>
                <w:sz w:val="16"/>
                <w:szCs w:val="16"/>
              </w:rPr>
              <w:t xml:space="preserve">Mitigation</w:t>
            </w:r>
          </w:p>
        </w:tc>
      </w:tr>
      <w:tr>
        <w:tc>
          <w:tcPr>
            <w:tcW w:type="dxa" w:w="3280"/>
            <w:tcBorders>
              <w:top w:val="single" w:color="E5E7EB" w:sz="1"/>
              <w:left w:val="single" w:color="E5E7EB" w:sz="1"/>
              <w:bottom w:val="single" w:color="E5E7EB" w:sz="1"/>
              <w:right w:val="single" w:color="E5E7EB" w:sz="1"/>
            </w:tcBorders>
            <w:shd w:fill="FFFFFF" w:val="clear"/>
            <w:tcMar>
              <w:top w:type="dxa" w:w="50"/>
              <w:left w:type="dxa" w:w="85"/>
              <w:bottom w:type="dxa" w:w="50"/>
              <w:right w:type="dxa" w:w="85"/>
            </w:tcMar>
          </w:tcPr>
          <w:p>
            <w:r>
              <w:rPr>
                <w:rFonts w:ascii="Tahoma" w:cs="Tahoma" w:eastAsia="Tahoma" w:hAnsi="Tahoma"/>
                <w:color w:val="2D2D2D"/>
                <w:sz w:val="16"/>
                <w:szCs w:val="16"/>
              </w:rPr>
              <w:t xml:space="preserve">Low signal volume from GitHub scans</w:t>
            </w:r>
          </w:p>
        </w:tc>
        <w:tc>
          <w:tcPr>
            <w:tcW w:type="dxa" w:w="3280"/>
            <w:tcBorders>
              <w:top w:val="single" w:color="E5E7EB" w:sz="1"/>
              <w:left w:val="single" w:color="E5E7EB" w:sz="1"/>
              <w:bottom w:val="single" w:color="E5E7EB" w:sz="1"/>
              <w:right w:val="single" w:color="E5E7EB" w:sz="1"/>
            </w:tcBorders>
            <w:shd w:fill="FFFFFF" w:val="clear"/>
            <w:tcMar>
              <w:top w:type="dxa" w:w="50"/>
              <w:left w:type="dxa" w:w="85"/>
              <w:bottom w:type="dxa" w:w="50"/>
              <w:right w:type="dxa" w:w="85"/>
            </w:tcMar>
          </w:tcPr>
          <w:p>
            <w:r>
              <w:rPr>
                <w:rFonts w:ascii="Tahoma" w:cs="Tahoma" w:eastAsia="Tahoma" w:hAnsi="Tahoma"/>
                <w:color w:val="2D2D2D"/>
                <w:sz w:val="16"/>
                <w:szCs w:val="16"/>
              </w:rPr>
              <w:t xml:space="preserve">Fewer targetable accounts than projected</w:t>
            </w:r>
          </w:p>
        </w:tc>
        <w:tc>
          <w:tcPr>
            <w:tcW w:type="dxa" w:w="3280"/>
            <w:tcBorders>
              <w:top w:val="single" w:color="E5E7EB" w:sz="1"/>
              <w:left w:val="single" w:color="E5E7EB" w:sz="1"/>
              <w:bottom w:val="single" w:color="E5E7EB" w:sz="1"/>
              <w:right w:val="single" w:color="E5E7EB" w:sz="1"/>
            </w:tcBorders>
            <w:shd w:fill="FFFFFF" w:val="clear"/>
            <w:tcMar>
              <w:top w:type="dxa" w:w="50"/>
              <w:left w:type="dxa" w:w="85"/>
              <w:bottom w:type="dxa" w:w="50"/>
              <w:right w:type="dxa" w:w="85"/>
            </w:tcMar>
          </w:tcPr>
          <w:p>
            <w:r>
              <w:rPr>
                <w:rFonts w:ascii="Tahoma" w:cs="Tahoma" w:eastAsia="Tahoma" w:hAnsi="Tahoma"/>
                <w:color w:val="2D2D2D"/>
                <w:sz w:val="16"/>
                <w:szCs w:val="16"/>
              </w:rPr>
              <w:t xml:space="preserve">Expand scanning heuristics. Supplement with Grow bulk imports, LinkedIn Prospector, and WebScraper to fill pipeline from multiple sources.</w:t>
            </w:r>
          </w:p>
        </w:tc>
      </w:tr>
      <w:tr>
        <w:tc>
          <w:tcPr>
            <w:tcW w:type="dxa" w:w="3280"/>
            <w:tcBorders>
              <w:top w:val="single" w:color="E5E7EB" w:sz="1"/>
              <w:left w:val="single" w:color="E5E7EB" w:sz="1"/>
              <w:bottom w:val="single" w:color="E5E7EB" w:sz="1"/>
              <w:right w:val="single" w:color="E5E7EB" w:sz="1"/>
            </w:tcBorders>
            <w:shd w:fill="FFFFFF" w:val="clear"/>
            <w:tcMar>
              <w:top w:type="dxa" w:w="50"/>
              <w:left w:type="dxa" w:w="85"/>
              <w:bottom w:type="dxa" w:w="50"/>
              <w:right w:type="dxa" w:w="85"/>
            </w:tcMar>
          </w:tcPr>
          <w:p>
            <w:r>
              <w:rPr>
                <w:rFonts w:ascii="Tahoma" w:cs="Tahoma" w:eastAsia="Tahoma" w:hAnsi="Tahoma"/>
                <w:color w:val="2D2D2D"/>
                <w:sz w:val="16"/>
                <w:szCs w:val="16"/>
              </w:rPr>
              <w:t xml:space="preserve">Email deliverability issues</w:t>
            </w:r>
          </w:p>
        </w:tc>
        <w:tc>
          <w:tcPr>
            <w:tcW w:type="dxa" w:w="3280"/>
            <w:tcBorders>
              <w:top w:val="single" w:color="E5E7EB" w:sz="1"/>
              <w:left w:val="single" w:color="E5E7EB" w:sz="1"/>
              <w:bottom w:val="single" w:color="E5E7EB" w:sz="1"/>
              <w:right w:val="single" w:color="E5E7EB" w:sz="1"/>
            </w:tcBorders>
            <w:shd w:fill="FFFFFF" w:val="clear"/>
            <w:tcMar>
              <w:top w:type="dxa" w:w="50"/>
              <w:left w:type="dxa" w:w="85"/>
              <w:bottom w:type="dxa" w:w="50"/>
              <w:right w:type="dxa" w:w="85"/>
            </w:tcMar>
          </w:tcPr>
          <w:p>
            <w:r>
              <w:rPr>
                <w:rFonts w:ascii="Tahoma" w:cs="Tahoma" w:eastAsia="Tahoma" w:hAnsi="Tahoma"/>
                <w:color w:val="2D2D2D"/>
                <w:sz w:val="16"/>
                <w:szCs w:val="16"/>
              </w:rPr>
              <w:t xml:space="preserve">Low open rates despite strong targeting</w:t>
            </w:r>
          </w:p>
        </w:tc>
        <w:tc>
          <w:tcPr>
            <w:tcW w:type="dxa" w:w="3280"/>
            <w:tcBorders>
              <w:top w:val="single" w:color="E5E7EB" w:sz="1"/>
              <w:left w:val="single" w:color="E5E7EB" w:sz="1"/>
              <w:bottom w:val="single" w:color="E5E7EB" w:sz="1"/>
              <w:right w:val="single" w:color="E5E7EB" w:sz="1"/>
            </w:tcBorders>
            <w:shd w:fill="FFFFFF" w:val="clear"/>
            <w:tcMar>
              <w:top w:type="dxa" w:w="50"/>
              <w:left w:type="dxa" w:w="85"/>
              <w:bottom w:type="dxa" w:w="50"/>
              <w:right w:type="dxa" w:w="85"/>
            </w:tcMar>
          </w:tcPr>
          <w:p>
            <w:r>
              <w:rPr>
                <w:rFonts w:ascii="Tahoma" w:cs="Tahoma" w:eastAsia="Tahoma" w:hAnsi="Tahoma"/>
                <w:color w:val="2D2D2D"/>
                <w:sz w:val="16"/>
                <w:szCs w:val="16"/>
              </w:rPr>
              <w:t xml:space="preserve">Domain warm-up, dedicated sending domains, A/B test subject lines, monitor bounce rates weekly.</w:t>
            </w:r>
          </w:p>
        </w:tc>
      </w:tr>
      <w:tr>
        <w:tc>
          <w:tcPr>
            <w:tcW w:type="dxa" w:w="3280"/>
            <w:tcBorders>
              <w:top w:val="single" w:color="E5E7EB" w:sz="1"/>
              <w:left w:val="single" w:color="E5E7EB" w:sz="1"/>
              <w:bottom w:val="single" w:color="E5E7EB" w:sz="1"/>
              <w:right w:val="single" w:color="E5E7EB" w:sz="1"/>
            </w:tcBorders>
            <w:shd w:fill="FFFFFF" w:val="clear"/>
            <w:tcMar>
              <w:top w:type="dxa" w:w="50"/>
              <w:left w:type="dxa" w:w="85"/>
              <w:bottom w:type="dxa" w:w="50"/>
              <w:right w:type="dxa" w:w="85"/>
            </w:tcMar>
          </w:tcPr>
          <w:p>
            <w:r>
              <w:rPr>
                <w:rFonts w:ascii="Tahoma" w:cs="Tahoma" w:eastAsia="Tahoma" w:hAnsi="Tahoma"/>
                <w:color w:val="2D2D2D"/>
                <w:sz w:val="16"/>
                <w:szCs w:val="16"/>
              </w:rPr>
              <w:t xml:space="preserve">AI-generated copy misses tone</w:t>
            </w:r>
          </w:p>
        </w:tc>
        <w:tc>
          <w:tcPr>
            <w:tcW w:type="dxa" w:w="3280"/>
            <w:tcBorders>
              <w:top w:val="single" w:color="E5E7EB" w:sz="1"/>
              <w:left w:val="single" w:color="E5E7EB" w:sz="1"/>
              <w:bottom w:val="single" w:color="E5E7EB" w:sz="1"/>
              <w:right w:val="single" w:color="E5E7EB" w:sz="1"/>
            </w:tcBorders>
            <w:shd w:fill="FFFFFF" w:val="clear"/>
            <w:tcMar>
              <w:top w:type="dxa" w:w="50"/>
              <w:left w:type="dxa" w:w="85"/>
              <w:bottom w:type="dxa" w:w="50"/>
              <w:right w:type="dxa" w:w="85"/>
            </w:tcMar>
          </w:tcPr>
          <w:p>
            <w:r>
              <w:rPr>
                <w:rFonts w:ascii="Tahoma" w:cs="Tahoma" w:eastAsia="Tahoma" w:hAnsi="Tahoma"/>
                <w:color w:val="2D2D2D"/>
                <w:sz w:val="16"/>
                <w:szCs w:val="16"/>
              </w:rPr>
              <w:t xml:space="preserve">Negative or off-brand replies</w:t>
            </w:r>
          </w:p>
        </w:tc>
        <w:tc>
          <w:tcPr>
            <w:tcW w:type="dxa" w:w="3280"/>
            <w:tcBorders>
              <w:top w:val="single" w:color="E5E7EB" w:sz="1"/>
              <w:left w:val="single" w:color="E5E7EB" w:sz="1"/>
              <w:bottom w:val="single" w:color="E5E7EB" w:sz="1"/>
              <w:right w:val="single" w:color="E5E7EB" w:sz="1"/>
            </w:tcBorders>
            <w:shd w:fill="FFFFFF" w:val="clear"/>
            <w:tcMar>
              <w:top w:type="dxa" w:w="50"/>
              <w:left w:type="dxa" w:w="85"/>
              <w:bottom w:type="dxa" w:w="50"/>
              <w:right w:type="dxa" w:w="85"/>
            </w:tcMar>
          </w:tcPr>
          <w:p>
            <w:r>
              <w:rPr>
                <w:rFonts w:ascii="Tahoma" w:cs="Tahoma" w:eastAsia="Tahoma" w:hAnsi="Tahoma"/>
                <w:color w:val="2D2D2D"/>
                <w:sz w:val="16"/>
                <w:szCs w:val="16"/>
              </w:rPr>
              <w:t xml:space="preserve">BDR review queue for first 2 weeks, sentiment analysis on replies, rapid prompt iteration per campaign.</w:t>
            </w:r>
          </w:p>
        </w:tc>
      </w:tr>
    </w:tbl>
    <w:p>
      <w:pPr>
        <w:pBdr>
          <w:bottom w:val="single" w:color="03EAB3" w:sz="4" w:space="5"/>
        </w:pBdr>
        <w:spacing w:after="70" w:before="200"/>
      </w:pPr>
      <w:r>
        <w:rPr>
          <w:rFonts w:ascii="Tahoma" w:cs="Tahoma" w:eastAsia="Tahoma" w:hAnsi="Tahoma"/>
          <w:b/>
          <w:bCs/>
          <w:color w:val="181818"/>
          <w:spacing w:val="80"/>
          <w:sz w:val="22"/>
          <w:szCs w:val="22"/>
        </w:rPr>
        <w:t xml:space="preserve">WHAT WE’RE BUILDING TOWARD</w:t>
      </w:r>
    </w:p>
    <w:p>
      <w:pPr>
        <w:spacing w:after="70" w:line="260"/>
      </w:pPr>
      <w:r>
        <w:rPr>
          <w:rFonts w:ascii="Tahoma" w:cs="Tahoma" w:eastAsia="Tahoma" w:hAnsi="Tahoma"/>
          <w:color w:val="2D2D2D"/>
          <w:sz w:val="18"/>
          <w:szCs w:val="18"/>
        </w:rPr>
        <w:t xml:space="preserve">If the 60-day experiment validates that Lead Machine outperforms traditional outbound, the platform becomes the operating system for outbound at Phrase:</w:t>
      </w:r>
    </w:p>
    <w:p>
      <w:pPr>
        <w:pStyle w:val="ListParagraph"/>
        <w:numPr>
          <w:ilvl w:val="0"/>
          <w:numId w:val="2"/>
        </w:numPr>
        <w:spacing w:after="45" w:line="252"/>
      </w:pPr>
      <w:r>
        <w:rPr>
          <w:rFonts w:ascii="Tahoma" w:cs="Tahoma" w:eastAsia="Tahoma" w:hAnsi="Tahoma"/>
          <w:color w:val="2D2D2D"/>
          <w:sz w:val="18"/>
          <w:szCs w:val="18"/>
        </w:rPr>
        <w:t xml:space="preserve">Hundreds of accounts monitored continuously across multiple lead sources.</w:t>
      </w:r>
    </w:p>
    <w:p>
      <w:pPr>
        <w:pStyle w:val="ListParagraph"/>
        <w:numPr>
          <w:ilvl w:val="0"/>
          <w:numId w:val="2"/>
        </w:numPr>
        <w:spacing w:after="45" w:line="252"/>
      </w:pPr>
      <w:r>
        <w:rPr>
          <w:rFonts w:ascii="Tahoma" w:cs="Tahoma" w:eastAsia="Tahoma" w:hAnsi="Tahoma"/>
          <w:color w:val="2D2D2D"/>
          <w:sz w:val="18"/>
          <w:szCs w:val="18"/>
        </w:rPr>
        <w:t xml:space="preserve">Campaigns running in parallel across BDRs, AEs, and leadership — all from a single platform.</w:t>
      </w:r>
    </w:p>
    <w:p>
      <w:pPr>
        <w:pStyle w:val="ListParagraph"/>
        <w:numPr>
          <w:ilvl w:val="0"/>
          <w:numId w:val="2"/>
        </w:numPr>
        <w:spacing w:after="45" w:line="252"/>
      </w:pPr>
      <w:r>
        <w:rPr>
          <w:rFonts w:ascii="Tahoma" w:cs="Tahoma" w:eastAsia="Tahoma" w:hAnsi="Tahoma"/>
          <w:color w:val="2D2D2D"/>
          <w:sz w:val="18"/>
          <w:szCs w:val="18"/>
        </w:rPr>
        <w:t xml:space="preserve">Full pipeline attribution from identification to closed-won, proving the ROI of intent-based targeting over traditional outbound.</w:t>
      </w:r>
    </w:p>
    <w:p>
      <w:pPr>
        <w:pStyle w:val="ListParagraph"/>
        <w:numPr>
          <w:ilvl w:val="0"/>
          <w:numId w:val="2"/>
        </w:numPr>
        <w:spacing w:after="45" w:line="252"/>
      </w:pPr>
      <w:r>
        <w:rPr>
          <w:rFonts w:ascii="Tahoma" w:cs="Tahoma" w:eastAsia="Tahoma" w:hAnsi="Tahoma"/>
          <w:color w:val="2D2D2D"/>
          <w:sz w:val="18"/>
          <w:szCs w:val="18"/>
        </w:rPr>
        <w:t xml:space="preserve">A repeatable system that any new hire can operate from day one, with no Apollo training required.</w:t>
      </w:r>
    </w:p>
    <w:p>
      <w:pPr>
        <w:spacing w:after="3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03EAB3" w:sz="3"/>
              <w:left w:val="single" w:color="03EAB3" w:sz="3"/>
              <w:bottom w:val="single" w:color="03EAB3" w:sz="3"/>
              <w:right w:val="single" w:color="03EAB3" w:sz="3"/>
            </w:tcBorders>
            <w:shd w:fill="F0FDF9" w:val="clear"/>
            <w:tcMar>
              <w:top w:type="dxa" w:w="90"/>
              <w:left w:type="dxa" w:w="160"/>
              <w:bottom w:type="dxa" w:w="90"/>
              <w:right w:type="dxa" w:w="160"/>
            </w:tcMar>
          </w:tcPr>
          <w:p>
            <w:pPr>
              <w:spacing w:after="25"/>
            </w:pPr>
            <w:r>
              <w:rPr>
                <w:rFonts w:ascii="Tahoma" w:cs="Tahoma" w:eastAsia="Tahoma" w:hAnsi="Tahoma"/>
                <w:b/>
                <w:bCs/>
                <w:color w:val="181818"/>
                <w:sz w:val="18"/>
                <w:szCs w:val="18"/>
              </w:rPr>
              <w:t xml:space="preserve">THE BOTTOM LINE</w:t>
            </w:r>
          </w:p>
          <w:p>
            <w:r>
              <w:rPr>
                <w:rFonts w:ascii="Tahoma" w:cs="Tahoma" w:eastAsia="Tahoma" w:hAnsi="Tahoma"/>
                <w:color w:val="2D2D2D"/>
                <w:sz w:val="17"/>
                <w:szCs w:val="17"/>
              </w:rPr>
              <w:t xml:space="preserve">AEs don’t need to learn Apollo. BDRs get a full pipeline. Leadership gets peer-to-peer outreach. The machine does the research and the sequencing. The humans do the selling.</w:t>
            </w:r>
          </w:p>
        </w:tc>
      </w:tr>
    </w:tbl>
    <w:p>
      <w:pPr>
        <w:pBdr>
          <w:bottom w:val="single" w:color="03EAB3" w:sz="4" w:space="5"/>
        </w:pBdr>
        <w:spacing w:after="70" w:before="200"/>
      </w:pPr>
      <w:r>
        <w:rPr>
          <w:rFonts w:ascii="Tahoma" w:cs="Tahoma" w:eastAsia="Tahoma" w:hAnsi="Tahoma"/>
          <w:b/>
          <w:bCs/>
          <w:color w:val="181818"/>
          <w:spacing w:val="80"/>
          <w:sz w:val="22"/>
          <w:szCs w:val="22"/>
        </w:rPr>
        <w:t xml:space="preserve">NEXT STEPS</w:t>
      </w:r>
    </w:p>
    <w:p>
      <w:pPr>
        <w:spacing w:after="70" w:line="260"/>
      </w:pPr>
      <w:r>
        <w:rPr>
          <w:rFonts w:ascii="Tahoma" w:cs="Tahoma" w:eastAsia="Tahoma" w:hAnsi="Tahoma"/>
          <w:b/>
          <w:bCs/>
          <w:color w:val="181818"/>
          <w:sz w:val="18"/>
          <w:szCs w:val="18"/>
        </w:rPr>
        <w:t xml:space="preserve">1. Launch RepoRadar today. </w:t>
      </w:r>
      <w:r>
        <w:rPr>
          <w:rFonts w:ascii="Tahoma" w:cs="Tahoma" w:eastAsia="Tahoma" w:hAnsi="Tahoma"/>
          <w:color w:val="2D2D2D"/>
          <w:sz w:val="18"/>
          <w:szCs w:val="18"/>
        </w:rPr>
        <w:t xml:space="preserve">First batch of 25 accounts scanned and contacts enrolled this week.</w:t>
      </w:r>
    </w:p>
    <w:p>
      <w:pPr>
        <w:spacing w:after="70" w:line="260"/>
      </w:pPr>
      <w:r>
        <w:rPr>
          <w:rFonts w:ascii="Tahoma" w:cs="Tahoma" w:eastAsia="Tahoma" w:hAnsi="Tahoma"/>
          <w:b/>
          <w:bCs/>
          <w:color w:val="181818"/>
          <w:sz w:val="18"/>
          <w:szCs w:val="18"/>
        </w:rPr>
        <w:t xml:space="preserve">2. Weekly check-in cadence. </w:t>
      </w:r>
      <w:r>
        <w:rPr>
          <w:rFonts w:ascii="Tahoma" w:cs="Tahoma" w:eastAsia="Tahoma" w:hAnsi="Tahoma"/>
          <w:color w:val="2D2D2D"/>
          <w:sz w:val="18"/>
          <w:szCs w:val="18"/>
        </w:rPr>
        <w:t xml:space="preserve">Activity metrics, reply sentiment, meetings booked.</w:t>
      </w:r>
    </w:p>
    <w:p>
      <w:pPr>
        <w:spacing w:after="70" w:line="260"/>
      </w:pPr>
      <w:r>
        <w:rPr>
          <w:rFonts w:ascii="Tahoma" w:cs="Tahoma" w:eastAsia="Tahoma" w:hAnsi="Tahoma"/>
          <w:b/>
          <w:bCs/>
          <w:color w:val="181818"/>
          <w:sz w:val="18"/>
          <w:szCs w:val="18"/>
        </w:rPr>
        <w:t xml:space="preserve">3. Week 4 checkpoint. </w:t>
      </w:r>
      <w:r>
        <w:rPr>
          <w:rFonts w:ascii="Tahoma" w:cs="Tahoma" w:eastAsia="Tahoma" w:hAnsi="Tahoma"/>
          <w:color w:val="2D2D2D"/>
          <w:sz w:val="18"/>
          <w:szCs w:val="18"/>
        </w:rPr>
        <w:t xml:space="preserve">Phase 1 retrospective. Go/adjust on volume scaling and Campaign #2 launch.</w:t>
      </w:r>
    </w:p>
    <w:p>
      <w:pPr>
        <w:spacing w:after="70" w:line="260"/>
      </w:pPr>
      <w:r>
        <w:rPr>
          <w:rFonts w:ascii="Tahoma" w:cs="Tahoma" w:eastAsia="Tahoma" w:hAnsi="Tahoma"/>
          <w:b/>
          <w:bCs/>
          <w:color w:val="181818"/>
          <w:sz w:val="18"/>
          <w:szCs w:val="18"/>
        </w:rPr>
        <w:t xml:space="preserve">4. Week 9 final review. </w:t>
      </w:r>
      <w:r>
        <w:rPr>
          <w:rFonts w:ascii="Tahoma" w:cs="Tahoma" w:eastAsia="Tahoma" w:hAnsi="Tahoma"/>
          <w:color w:val="2D2D2D"/>
          <w:sz w:val="18"/>
          <w:szCs w:val="18"/>
        </w:rPr>
        <w:t xml:space="preserve">Full ROI analysis. Recommendation on permanent adoption and headcount allocation.</w:t>
      </w:r>
    </w:p>
    <w:sectPr>
      <w:headerReference w:type="default" r:id="rId7"/>
      <w:footerReference w:type="default" r:id="rId8"/>
      <w:pgSz w:w="12240" w:h="15840" w:orient="portrait"/>
      <w:pgMar w:top="960" w:right="1050" w:bottom="860" w:left="10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Tahoma" w:cs="Tahoma" w:eastAsia="Tahoma" w:hAnsi="Tahoma"/>
        <w:color w:val="6B7280"/>
        <w:sz w:val="12"/>
        <w:szCs w:val="12"/>
      </w:rPr>
      <w:t xml:space="preserve">Confidential — Phrase, 2026</w:t>
    </w:r>
    <w:r>
      <w:rPr>
        <w:rFonts w:ascii="Tahoma" w:cs="Tahoma" w:eastAsia="Tahoma" w:hAnsi="Tahoma"/>
        <w:color w:val="6B7280"/>
        <w:sz w:val="12"/>
        <w:szCs w:val="12"/>
      </w:rPr>
      <w:t xml:space="preserve">	Page </w:t>
    </w:r>
    <w:r>
      <w:rPr>
        <w:rFonts w:ascii="Tahoma" w:cs="Tahoma" w:eastAsia="Tahoma" w:hAnsi="Tahoma"/>
        <w:color w:val="6B7280"/>
        <w:sz w:val="12"/>
        <w:szCs w:val="1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3EAB3" w:sz="2" w:space="3"/>
      </w:pBdr>
      <w:tabs>
        <w:tab w:val="right" w:pos="9026"/>
      </w:tabs>
    </w:pPr>
    <w:r>
      <w:drawing>
        <wp:inline distT="0" distB="0" distL="0" distR="0">
          <wp:extent cx="809625"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09625" cy="209550"/>
                  </a:xfrm>
                  <a:prstGeom prst="rect">
                    <a:avLst/>
                  </a:prstGeom>
                </pic:spPr>
              </pic:pic>
            </a:graphicData>
          </a:graphic>
        </wp:inline>
      </w:drawing>
    </w:r>
    <w:r>
      <w:rPr>
        <w:rFonts w:ascii="Tahoma" w:cs="Tahoma" w:eastAsia="Tahoma" w:hAnsi="Tahoma"/>
        <w:color w:val="6B7280"/>
        <w:sz w:val="13"/>
        <w:szCs w:val="13"/>
      </w:rPr>
      <w:t xml:space="preserve">	Lead Machine — 60-Day Experiment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0"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e003c373c16b6a5b5dd7349f5e3d4fe88be078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e873a290397ef1619d61718ec47885f663374f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2026-03-05T00:18:44.795Z</dcterms:created>
  <dcterms:modified xsi:type="dcterms:W3CDTF">2026-03-05T00:18:44.799Z</dcterms:modified>
</cp:coreProperties>
</file>

<file path=docProps/custom.xml><?xml version="1.0" encoding="utf-8"?>
<Properties xmlns="http://schemas.openxmlformats.org/officeDocument/2006/custom-properties" xmlns:vt="http://schemas.openxmlformats.org/officeDocument/2006/docPropsVTypes"/>
</file>