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007A87"/>
          </w:tcPr>
          <w:p>
            <w:r>
              <w:t xml:space="preserve"> </w:t>
            </w:r>
          </w:p>
        </w:tc>
      </w:tr>
    </w:tbl>
    <w:p/>
    <w:p>
      <w:pPr>
        <w:spacing w:before="400"/>
        <w:jc w:val="center"/>
      </w:pPr>
      <w:r>
        <w:rPr>
          <w:rFonts w:ascii="Calibri" w:hAnsi="Calibri"/>
          <w:b/>
          <w:color w:val="1A375E"/>
          <w:sz w:val="64"/>
        </w:rPr>
        <w:t>Time Borrowing</w:t>
      </w:r>
    </w:p>
    <w:p>
      <w:pPr>
        <w:jc w:val="center"/>
      </w:pPr>
      <w:r>
        <w:rPr>
          <w:rFonts w:ascii="Calibri" w:hAnsi="Calibri"/>
          <w:b/>
          <w:color w:val="007A87"/>
          <w:sz w:val="32"/>
        </w:rPr>
        <w:t>Your Complete Guide — Plain Language</w:t>
      </w:r>
    </w:p>
    <w:p>
      <w:pPr>
        <w:spacing w:after="200" w:before="0"/>
      </w:pPr>
    </w:p>
    <w:p>
      <w:pPr>
        <w:jc w:val="center"/>
      </w:pPr>
      <w:r>
        <w:rPr>
          <w:rFonts w:ascii="Calibri" w:hAnsi="Calibri"/>
          <w:color w:val="445566"/>
          <w:sz w:val="24"/>
        </w:rPr>
        <w:t>Who gets it  •  How to apply  •  What to use it for</w:t>
        <w:br/>
        <w:t>How to repay  •  What happens if you can't</w:t>
        <w:br/>
        <w:t>How the government manages it</w:t>
      </w:r>
    </w:p>
    <w:p>
      <w:pPr>
        <w:spacing w:after="320" w:before="0"/>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Time Borrowing is not a loan from a bank. You are not borrowing money — you are borrowing against your OWN future time and contribution. There is NO interest. The money comes from a tax on AI and automation, not from other taxpayers.</w:t>
            </w:r>
          </w:p>
        </w:tc>
      </w:tr>
    </w:tbl>
    <w:p>
      <w:pPr>
        <w:spacing w:after="60"/>
      </w:pPr>
    </w:p>
    <w:p>
      <w:pPr>
        <w:spacing w:after="120" w:before="0"/>
      </w:pPr>
    </w:p>
    <w:p>
      <w:pPr>
        <w:jc w:val="center"/>
      </w:pPr>
      <w:r>
        <w:rPr>
          <w:rFonts w:ascii="Calibri" w:hAnsi="Calibri"/>
          <w:color w:val="778899"/>
          <w:sz w:val="20"/>
        </w:rPr>
        <w:t>Author: Enis Murseli  |  May 2026</w:t>
      </w:r>
    </w:p>
    <w:p>
      <w:r>
        <w:br w:type="page"/>
      </w:r>
    </w:p>
    <w:p>
      <w:pPr>
        <w:spacing w:before="200" w:after="100"/>
        <w:jc w:val="left"/>
      </w:pPr>
      <w:r>
        <w:rPr>
          <w:rFonts w:ascii="Calibri" w:hAnsi="Calibri"/>
          <w:b/>
          <w:color w:val="1A375E"/>
          <w:sz w:val="36"/>
        </w:rPr>
        <w:t>1.  What is Time Borrowing?</w:t>
      </w:r>
    </w:p>
    <w:p>
      <w:pPr>
        <w:spacing w:before="80" w:after="80"/>
        <w:pBdr>
          <w:bottom w:val="single" w:sz="6" w:space="1" w:color="007A87"/>
        </w:pBdr>
      </w:pPr>
    </w:p>
    <w:p>
      <w:pPr>
        <w:spacing w:after="100" w:before="0"/>
        <w:jc w:val="left"/>
      </w:pPr>
      <w:r>
        <w:rPr>
          <w:rFonts w:ascii="Calibri" w:hAnsi="Calibri"/>
          <w:b w:val="0"/>
          <w:i w:val="0"/>
          <w:sz w:val="21"/>
        </w:rPr>
        <w:t>Time Borrowing is a new government programme that gives you access to money NOW, which you pay back from your FUTURE earnings — at zero percent interest. Think of it as an advance on the value you will create in the years ahead.</w:t>
      </w:r>
    </w:p>
    <w:p>
      <w:pPr>
        <w:spacing w:after="100" w:before="0"/>
        <w:jc w:val="left"/>
      </w:pPr>
      <w:r>
        <w:rPr>
          <w:rFonts w:ascii="Calibri" w:hAnsi="Calibri"/>
          <w:b w:val="0"/>
          <w:i w:val="0"/>
          <w:sz w:val="21"/>
        </w:rPr>
        <w:t>Where does the money come from? Not from your taxes or your neighbour's taxes. It comes from a dedicated tax on companies that use artificial intelligence and automation to replace human workers. The more machines do the work, the more money flows into the Time Borrowing pool — and that money goes directly to citizens like you.</w:t>
      </w:r>
    </w:p>
    <w:p>
      <w:pPr>
        <w:spacing w:before="200" w:after="100"/>
        <w:jc w:val="left"/>
      </w:pPr>
      <w:r>
        <w:rPr>
          <w:rFonts w:ascii="Calibri" w:hAnsi="Calibri"/>
          <w:b/>
          <w:color w:val="007A87"/>
          <w:sz w:val="24"/>
        </w:rPr>
        <w:t>The simple version:</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BEFORE TIME BORROWING:</w:t>
              <w:br/>
              <w:t>A robot replaces 10 workers. The company saves millions. The 10 workers receive nothing.</w:t>
              <w:br/>
              <w:br/>
              <w:t>WITH TIME BORROWING:</w:t>
              <w:br/>
              <w:t>A robot replaces 10 workers. The company saves millions AND pays an automation tax. That tax goes directly to those 10 workers as a Time Borrowing advance. They use it to retrain, start a business, or bridge the gap. They repay it when back on their feet.</w:t>
            </w:r>
          </w:p>
        </w:tc>
      </w:tr>
    </w:tbl>
    <w:p>
      <w:pPr>
        <w:spacing w:after="60"/>
      </w:pPr>
    </w:p>
    <w:p>
      <w:r>
        <w:br w:type="page"/>
      </w:r>
    </w:p>
    <w:p>
      <w:pPr>
        <w:spacing w:before="200" w:after="100"/>
        <w:jc w:val="left"/>
      </w:pPr>
      <w:r>
        <w:rPr>
          <w:rFonts w:ascii="Calibri" w:hAnsi="Calibri"/>
          <w:b/>
          <w:color w:val="1A375E"/>
          <w:sz w:val="36"/>
        </w:rPr>
        <w:t>2.  Who Can Get Time Borrowing?</w:t>
      </w:r>
    </w:p>
    <w:p>
      <w:pPr>
        <w:spacing w:before="80" w:after="80"/>
        <w:pBdr>
          <w:bottom w:val="single" w:sz="6" w:space="1" w:color="007A87"/>
        </w:pBdr>
      </w:pPr>
    </w:p>
    <w:p>
      <w:pPr>
        <w:spacing w:after="100" w:before="0"/>
        <w:jc w:val="left"/>
      </w:pPr>
      <w:r>
        <w:rPr>
          <w:rFonts w:ascii="Calibri" w:hAnsi="Calibri"/>
          <w:b w:val="0"/>
          <w:i w:val="0"/>
          <w:sz w:val="21"/>
        </w:rPr>
        <w:t>Time Borrowing is open to EVERYONE — it is a universal instrument. There is no means test, no credit check, and no need for financial collateral. The only requirements are: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07A87"/>
          </w:tcPr>
          <w:p>
            <w:pPr>
              <w:jc w:val="center"/>
            </w:pPr>
            <w:r>
              <w:rPr>
                <w:rFonts w:ascii="Calibri" w:hAnsi="Calibri"/>
                <w:b/>
                <w:color w:val="FFFFFF"/>
                <w:sz w:val="19"/>
              </w:rPr>
              <w:t>Requirement</w:t>
            </w:r>
          </w:p>
        </w:tc>
        <w:tc>
          <w:tcPr>
            <w:tcW w:type="dxa" w:w="3022"/>
            <w:shd w:val="clear" w:color="auto" w:fill="007A87"/>
          </w:tcPr>
          <w:p>
            <w:pPr>
              <w:jc w:val="center"/>
            </w:pPr>
            <w:r>
              <w:rPr>
                <w:rFonts w:ascii="Calibri" w:hAnsi="Calibri"/>
                <w:b/>
                <w:color w:val="FFFFFF"/>
                <w:sz w:val="19"/>
              </w:rPr>
              <w:t>What it means</w:t>
            </w:r>
          </w:p>
        </w:tc>
        <w:tc>
          <w:tcPr>
            <w:tcW w:type="dxa" w:w="3022"/>
            <w:shd w:val="clear" w:color="auto" w:fill="007A87"/>
          </w:tcPr>
          <w:p>
            <w:pPr>
              <w:jc w:val="center"/>
            </w:pPr>
            <w:r>
              <w:rPr>
                <w:rFonts w:ascii="Calibri" w:hAnsi="Calibri"/>
                <w:b/>
                <w:color w:val="FFFFFF"/>
                <w:sz w:val="19"/>
              </w:rPr>
              <w:t>Who is affected?</w:t>
            </w:r>
          </w:p>
        </w:tc>
      </w:tr>
      <w:tr>
        <w:tc>
          <w:tcPr>
            <w:tcW w:type="dxa" w:w="3022"/>
          </w:tcPr>
          <w:p>
            <w:pPr>
              <w:jc w:val="left"/>
            </w:pPr>
            <w:r>
              <w:rPr>
                <w:rFonts w:ascii="Calibri" w:hAnsi="Calibri"/>
                <w:sz w:val="19"/>
              </w:rPr>
              <w:t>No active freeze</w:t>
            </w:r>
          </w:p>
        </w:tc>
        <w:tc>
          <w:tcPr>
            <w:tcW w:type="dxa" w:w="3022"/>
          </w:tcPr>
          <w:p>
            <w:pPr>
              <w:jc w:val="center"/>
            </w:pPr>
            <w:r>
              <w:rPr>
                <w:rFonts w:ascii="Calibri" w:hAnsi="Calibri"/>
                <w:sz w:val="19"/>
              </w:rPr>
              <w:t>You are not currently in a TDRW freeze from a previous default</w:t>
            </w:r>
          </w:p>
        </w:tc>
        <w:tc>
          <w:tcPr>
            <w:tcW w:type="dxa" w:w="3022"/>
          </w:tcPr>
          <w:p>
            <w:pPr>
              <w:jc w:val="center"/>
            </w:pPr>
            <w:r>
              <w:rPr>
                <w:rFonts w:ascii="Calibri" w:hAnsi="Calibri"/>
                <w:sz w:val="19"/>
              </w:rPr>
              <w:t>Only those who previously defaulted below 30%</w:t>
            </w:r>
          </w:p>
        </w:tc>
      </w:tr>
      <w:tr>
        <w:tc>
          <w:tcPr>
            <w:tcW w:type="dxa" w:w="3022"/>
            <w:shd w:val="clear" w:color="auto" w:fill="EEF3FA"/>
          </w:tcPr>
          <w:p>
            <w:pPr>
              <w:jc w:val="left"/>
            </w:pPr>
            <w:r>
              <w:rPr>
                <w:rFonts w:ascii="Calibri" w:hAnsi="Calibri"/>
                <w:sz w:val="19"/>
              </w:rPr>
              <w:t>No active TB loan</w:t>
            </w:r>
          </w:p>
        </w:tc>
        <w:tc>
          <w:tcPr>
            <w:tcW w:type="dxa" w:w="3022"/>
            <w:shd w:val="clear" w:color="auto" w:fill="EEF3FA"/>
          </w:tcPr>
          <w:p>
            <w:pPr>
              <w:jc w:val="center"/>
            </w:pPr>
            <w:r>
              <w:rPr>
                <w:rFonts w:ascii="Calibri" w:hAnsi="Calibri"/>
                <w:sz w:val="19"/>
              </w:rPr>
              <w:t>You have fully repaid your previous advance (or never had one)</w:t>
            </w:r>
          </w:p>
        </w:tc>
        <w:tc>
          <w:tcPr>
            <w:tcW w:type="dxa" w:w="3022"/>
            <w:shd w:val="clear" w:color="auto" w:fill="EEF3FA"/>
          </w:tcPr>
          <w:p>
            <w:pPr>
              <w:jc w:val="center"/>
            </w:pPr>
            <w:r>
              <w:rPr>
                <w:rFonts w:ascii="Calibri" w:hAnsi="Calibri"/>
                <w:sz w:val="19"/>
              </w:rPr>
              <w:t>Everyone else is eligible</w:t>
            </w:r>
          </w:p>
        </w:tc>
      </w:tr>
      <w:tr>
        <w:tc>
          <w:tcPr>
            <w:tcW w:type="dxa" w:w="3022"/>
          </w:tcPr>
          <w:p>
            <w:pPr>
              <w:jc w:val="left"/>
            </w:pPr>
            <w:r>
              <w:rPr>
                <w:rFonts w:ascii="Calibri" w:hAnsi="Calibri"/>
                <w:sz w:val="19"/>
              </w:rPr>
              <w:t>Pool has funds</w:t>
            </w:r>
          </w:p>
        </w:tc>
        <w:tc>
          <w:tcPr>
            <w:tcW w:type="dxa" w:w="3022"/>
          </w:tcPr>
          <w:p>
            <w:pPr>
              <w:jc w:val="center"/>
            </w:pPr>
            <w:r>
              <w:rPr>
                <w:rFonts w:ascii="Calibri" w:hAnsi="Calibri"/>
                <w:sz w:val="19"/>
              </w:rPr>
              <w:t>The TB pool has enough above its 20% reserve floor to serve you</w:t>
            </w:r>
          </w:p>
        </w:tc>
        <w:tc>
          <w:tcPr>
            <w:tcW w:type="dxa" w:w="3022"/>
          </w:tcPr>
          <w:p>
            <w:pPr>
              <w:jc w:val="center"/>
            </w:pPr>
            <w:r>
              <w:rPr>
                <w:rFonts w:ascii="Calibri" w:hAnsi="Calibri"/>
                <w:sz w:val="19"/>
              </w:rPr>
              <w:t>Almost always — pool is designed to stay full</w:t>
            </w:r>
          </w:p>
        </w:tc>
      </w:tr>
    </w:tbl>
    <w:p>
      <w:pPr>
        <w:spacing w:after="60"/>
      </w:pPr>
    </w:p>
    <w:p>
      <w:pPr>
        <w:spacing w:before="200" w:after="100"/>
        <w:jc w:val="left"/>
      </w:pPr>
      <w:r>
        <w:rPr>
          <w:rFonts w:ascii="Calibri" w:hAnsi="Calibri"/>
          <w:b/>
          <w:color w:val="007A87"/>
          <w:sz w:val="24"/>
        </w:rPr>
        <w:t>Who will most commonly use it?</w:t>
      </w:r>
    </w:p>
    <w:p>
      <w:pPr>
        <w:pStyle w:val="ListBullet"/>
        <w:spacing w:after="60" w:before="20"/>
        <w:ind w:left="454"/>
      </w:pPr>
      <w:r>
        <w:rPr>
          <w:rFonts w:ascii="Calibri" w:hAnsi="Calibri"/>
          <w:b/>
          <w:sz w:val="21"/>
        </w:rPr>
        <w:t xml:space="preserve">Unemployed adults  </w:t>
      </w:r>
      <w:r>
        <w:rPr>
          <w:rFonts w:ascii="Calibri" w:hAnsi="Calibri"/>
          <w:sz w:val="21"/>
        </w:rPr>
        <w:t>Use it to retrain for a new career or start a small business</w:t>
      </w:r>
    </w:p>
    <w:p>
      <w:pPr>
        <w:pStyle w:val="ListBullet"/>
        <w:spacing w:after="60" w:before="20"/>
        <w:ind w:left="454"/>
      </w:pPr>
      <w:r>
        <w:rPr>
          <w:rFonts w:ascii="Calibri" w:hAnsi="Calibri"/>
          <w:b/>
          <w:sz w:val="21"/>
        </w:rPr>
        <w:t xml:space="preserve">NEET young people  </w:t>
      </w:r>
      <w:r>
        <w:rPr>
          <w:rFonts w:ascii="Calibri" w:hAnsi="Calibri"/>
          <w:sz w:val="21"/>
        </w:rPr>
        <w:t>Use it to fund a degree, vocational course, or apprenticeship</w:t>
      </w:r>
    </w:p>
    <w:p>
      <w:pPr>
        <w:pStyle w:val="ListBullet"/>
        <w:spacing w:after="60" w:before="20"/>
        <w:ind w:left="454"/>
      </w:pPr>
      <w:r>
        <w:rPr>
          <w:rFonts w:ascii="Calibri" w:hAnsi="Calibri"/>
          <w:b/>
          <w:sz w:val="21"/>
        </w:rPr>
        <w:t xml:space="preserve">Parents returning to work  </w:t>
      </w:r>
      <w:r>
        <w:rPr>
          <w:rFonts w:ascii="Calibri" w:hAnsi="Calibri"/>
          <w:sz w:val="21"/>
        </w:rPr>
        <w:t>Use it to cover childcare costs during re-entry to employment</w:t>
      </w:r>
    </w:p>
    <w:p>
      <w:pPr>
        <w:pStyle w:val="ListBullet"/>
        <w:spacing w:after="60" w:before="20"/>
        <w:ind w:left="454"/>
      </w:pPr>
      <w:r>
        <w:rPr>
          <w:rFonts w:ascii="Calibri" w:hAnsi="Calibri"/>
          <w:b/>
          <w:sz w:val="21"/>
        </w:rPr>
        <w:t xml:space="preserve">Entrepreneurs  </w:t>
      </w:r>
      <w:r>
        <w:rPr>
          <w:rFonts w:ascii="Calibri" w:hAnsi="Calibri"/>
          <w:sz w:val="21"/>
        </w:rPr>
        <w:t>Use it as seed capital to start a business when no bank will lend</w:t>
      </w:r>
    </w:p>
    <w:p>
      <w:pPr>
        <w:pStyle w:val="ListBullet"/>
        <w:spacing w:after="60" w:before="20"/>
        <w:ind w:left="454"/>
      </w:pPr>
      <w:r>
        <w:rPr>
          <w:rFonts w:ascii="Calibri" w:hAnsi="Calibri"/>
          <w:b/>
          <w:sz w:val="21"/>
        </w:rPr>
        <w:t xml:space="preserve">Retired people re-skilling  </w:t>
      </w:r>
      <w:r>
        <w:rPr>
          <w:rFonts w:ascii="Calibri" w:hAnsi="Calibri"/>
          <w:sz w:val="21"/>
        </w:rPr>
        <w:t>Use it to fund learning new skills and contribute differently</w:t>
      </w:r>
    </w:p>
    <w:p>
      <w:pPr>
        <w:pStyle w:val="ListBullet"/>
        <w:spacing w:after="60" w:before="20"/>
        <w:ind w:left="454"/>
      </w:pPr>
      <w:r>
        <w:rPr>
          <w:rFonts w:ascii="Calibri" w:hAnsi="Calibri"/>
          <w:b/>
          <w:sz w:val="21"/>
        </w:rPr>
        <w:t xml:space="preserve">People in hardship  </w:t>
      </w:r>
      <w:r>
        <w:rPr>
          <w:rFonts w:ascii="Calibri" w:hAnsi="Calibri"/>
          <w:sz w:val="21"/>
        </w:rPr>
        <w:t>Use it to bridge a financial gap — medical crisis, housing emergency</w:t>
      </w:r>
    </w:p>
    <w:p>
      <w:pPr>
        <w:pStyle w:val="ListBullet"/>
        <w:spacing w:after="60" w:before="20"/>
        <w:ind w:left="454"/>
      </w:pPr>
      <w:r>
        <w:rPr>
          <w:rFonts w:ascii="Calibri" w:hAnsi="Calibri"/>
          <w:b/>
          <w:sz w:val="21"/>
        </w:rPr>
        <w:t xml:space="preserve">Students without family support  </w:t>
      </w:r>
      <w:r>
        <w:rPr>
          <w:rFonts w:ascii="Calibri" w:hAnsi="Calibri"/>
          <w:sz w:val="21"/>
        </w:rPr>
        <w:t>Use it to fund higher education without accumulating bank debt</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You do NOT need to be unemployed to apply. You do NOT need to prove you are poor. You do NOT need a bank account history. The system works for everyone equally.</w:t>
            </w:r>
          </w:p>
        </w:tc>
      </w:tr>
    </w:tbl>
    <w:p>
      <w:pPr>
        <w:spacing w:after="60"/>
      </w:pPr>
    </w:p>
    <w:p>
      <w:r>
        <w:br w:type="page"/>
      </w:r>
    </w:p>
    <w:p>
      <w:pPr>
        <w:spacing w:before="200" w:after="100"/>
        <w:jc w:val="left"/>
      </w:pPr>
      <w:r>
        <w:rPr>
          <w:rFonts w:ascii="Calibri" w:hAnsi="Calibri"/>
          <w:b/>
          <w:color w:val="1A375E"/>
          <w:sz w:val="36"/>
        </w:rPr>
        <w:t>3.  How Do You Apply?</w:t>
      </w:r>
    </w:p>
    <w:p>
      <w:pPr>
        <w:spacing w:before="80" w:after="80"/>
        <w:pBdr>
          <w:bottom w:val="single" w:sz="6" w:space="1" w:color="007A87"/>
        </w:pBdr>
      </w:pPr>
    </w:p>
    <w:p>
      <w:pPr>
        <w:spacing w:after="100" w:before="0"/>
        <w:jc w:val="left"/>
      </w:pPr>
      <w:r>
        <w:rPr>
          <w:rFonts w:ascii="Calibri" w:hAnsi="Calibri"/>
          <w:b w:val="0"/>
          <w:i w:val="0"/>
          <w:sz w:val="21"/>
        </w:rPr>
        <w:t>The application process is designed to be simple, fast, and fully digital. Here is what it looks like in practice: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Step</w:t>
            </w:r>
          </w:p>
        </w:tc>
        <w:tc>
          <w:tcPr>
            <w:tcW w:type="dxa" w:w="3022"/>
            <w:shd w:val="clear" w:color="auto" w:fill="1A375E"/>
          </w:tcPr>
          <w:p>
            <w:pPr>
              <w:jc w:val="center"/>
            </w:pPr>
            <w:r>
              <w:rPr>
                <w:rFonts w:ascii="Calibri" w:hAnsi="Calibri"/>
                <w:b/>
                <w:color w:val="FFFFFF"/>
                <w:sz w:val="19"/>
              </w:rPr>
              <w:t>What You Do</w:t>
            </w:r>
          </w:p>
        </w:tc>
        <w:tc>
          <w:tcPr>
            <w:tcW w:type="dxa" w:w="3022"/>
            <w:shd w:val="clear" w:color="auto" w:fill="1A375E"/>
          </w:tcPr>
          <w:p>
            <w:pPr>
              <w:jc w:val="center"/>
            </w:pPr>
            <w:r>
              <w:rPr>
                <w:rFonts w:ascii="Calibri" w:hAnsi="Calibri"/>
                <w:b/>
                <w:color w:val="FFFFFF"/>
                <w:sz w:val="19"/>
              </w:rPr>
              <w:t>How Long It Takes</w:t>
            </w:r>
          </w:p>
        </w:tc>
      </w:tr>
      <w:tr>
        <w:tc>
          <w:tcPr>
            <w:tcW w:type="dxa" w:w="3022"/>
          </w:tcPr>
          <w:p>
            <w:pPr>
              <w:jc w:val="left"/>
            </w:pPr>
            <w:r>
              <w:rPr>
                <w:rFonts w:ascii="Calibri" w:hAnsi="Calibri"/>
                <w:sz w:val="19"/>
              </w:rPr>
              <w:t>1. Check eligibility</w:t>
            </w:r>
          </w:p>
        </w:tc>
        <w:tc>
          <w:tcPr>
            <w:tcW w:type="dxa" w:w="3022"/>
          </w:tcPr>
          <w:p>
            <w:pPr>
              <w:jc w:val="center"/>
            </w:pPr>
            <w:r>
              <w:rPr>
                <w:rFonts w:ascii="Calibri" w:hAnsi="Calibri"/>
                <w:sz w:val="19"/>
              </w:rPr>
              <w:t>Log into the TB Digital Portal with your national ID</w:t>
            </w:r>
          </w:p>
        </w:tc>
        <w:tc>
          <w:tcPr>
            <w:tcW w:type="dxa" w:w="3022"/>
          </w:tcPr>
          <w:p>
            <w:pPr>
              <w:jc w:val="center"/>
            </w:pPr>
            <w:r>
              <w:rPr>
                <w:rFonts w:ascii="Calibri" w:hAnsi="Calibri"/>
                <w:sz w:val="19"/>
              </w:rPr>
              <w:t>Under 1 minute</w:t>
            </w:r>
          </w:p>
        </w:tc>
      </w:tr>
      <w:tr>
        <w:tc>
          <w:tcPr>
            <w:tcW w:type="dxa" w:w="3022"/>
            <w:shd w:val="clear" w:color="auto" w:fill="EEF3FA"/>
          </w:tcPr>
          <w:p>
            <w:pPr>
              <w:jc w:val="left"/>
            </w:pPr>
            <w:r>
              <w:rPr>
                <w:rFonts w:ascii="Calibri" w:hAnsi="Calibri"/>
                <w:sz w:val="19"/>
              </w:rPr>
              <w:t>2. Choose your amount</w:t>
            </w:r>
          </w:p>
        </w:tc>
        <w:tc>
          <w:tcPr>
            <w:tcW w:type="dxa" w:w="3022"/>
            <w:shd w:val="clear" w:color="auto" w:fill="EEF3FA"/>
          </w:tcPr>
          <w:p>
            <w:pPr>
              <w:jc w:val="center"/>
            </w:pPr>
            <w:r>
              <w:rPr>
                <w:rFonts w:ascii="Calibri" w:hAnsi="Calibri"/>
                <w:sz w:val="19"/>
              </w:rPr>
              <w:t>Select how much you need (min 500, max 5,000 units)</w:t>
            </w:r>
          </w:p>
        </w:tc>
        <w:tc>
          <w:tcPr>
            <w:tcW w:type="dxa" w:w="3022"/>
            <w:shd w:val="clear" w:color="auto" w:fill="EEF3FA"/>
          </w:tcPr>
          <w:p>
            <w:pPr>
              <w:jc w:val="center"/>
            </w:pPr>
            <w:r>
              <w:rPr>
                <w:rFonts w:ascii="Calibri" w:hAnsi="Calibri"/>
                <w:sz w:val="19"/>
              </w:rPr>
              <w:t>Your choice</w:t>
            </w:r>
          </w:p>
        </w:tc>
      </w:tr>
      <w:tr>
        <w:tc>
          <w:tcPr>
            <w:tcW w:type="dxa" w:w="3022"/>
          </w:tcPr>
          <w:p>
            <w:pPr>
              <w:jc w:val="left"/>
            </w:pPr>
            <w:r>
              <w:rPr>
                <w:rFonts w:ascii="Calibri" w:hAnsi="Calibri"/>
                <w:sz w:val="19"/>
              </w:rPr>
              <w:t>3. Choose your window</w:t>
            </w:r>
          </w:p>
        </w:tc>
        <w:tc>
          <w:tcPr>
            <w:tcW w:type="dxa" w:w="3022"/>
          </w:tcPr>
          <w:p>
            <w:pPr>
              <w:jc w:val="center"/>
            </w:pPr>
            <w:r>
              <w:rPr>
                <w:rFonts w:ascii="Calibri" w:hAnsi="Calibri"/>
                <w:sz w:val="19"/>
              </w:rPr>
              <w:t>Select your repayment window: 1 to 5 years</w:t>
            </w:r>
          </w:p>
        </w:tc>
        <w:tc>
          <w:tcPr>
            <w:tcW w:type="dxa" w:w="3022"/>
          </w:tcPr>
          <w:p>
            <w:pPr>
              <w:jc w:val="center"/>
            </w:pPr>
            <w:r>
              <w:rPr>
                <w:rFonts w:ascii="Calibri" w:hAnsi="Calibri"/>
                <w:sz w:val="19"/>
              </w:rPr>
              <w:t>Your choice</w:t>
            </w:r>
          </w:p>
        </w:tc>
      </w:tr>
      <w:tr>
        <w:tc>
          <w:tcPr>
            <w:tcW w:type="dxa" w:w="3022"/>
            <w:shd w:val="clear" w:color="auto" w:fill="EEF3FA"/>
          </w:tcPr>
          <w:p>
            <w:pPr>
              <w:jc w:val="left"/>
            </w:pPr>
            <w:r>
              <w:rPr>
                <w:rFonts w:ascii="Calibri" w:hAnsi="Calibri"/>
                <w:sz w:val="19"/>
              </w:rPr>
              <w:t>4. State your purpose</w:t>
            </w:r>
          </w:p>
        </w:tc>
        <w:tc>
          <w:tcPr>
            <w:tcW w:type="dxa" w:w="3022"/>
            <w:shd w:val="clear" w:color="auto" w:fill="EEF3FA"/>
          </w:tcPr>
          <w:p>
            <w:pPr>
              <w:jc w:val="center"/>
            </w:pPr>
            <w:r>
              <w:rPr>
                <w:rFonts w:ascii="Calibri" w:hAnsi="Calibri"/>
                <w:sz w:val="19"/>
              </w:rPr>
              <w:t>Briefly describe intended use (education / business / hardship)</w:t>
            </w:r>
          </w:p>
        </w:tc>
        <w:tc>
          <w:tcPr>
            <w:tcW w:type="dxa" w:w="3022"/>
            <w:shd w:val="clear" w:color="auto" w:fill="EEF3FA"/>
          </w:tcPr>
          <w:p>
            <w:pPr>
              <w:jc w:val="center"/>
            </w:pPr>
            <w:r>
              <w:rPr>
                <w:rFonts w:ascii="Calibri" w:hAnsi="Calibri"/>
                <w:sz w:val="19"/>
              </w:rPr>
              <w:t>Optional — not verified upfront</w:t>
            </w:r>
          </w:p>
        </w:tc>
      </w:tr>
      <w:tr>
        <w:tc>
          <w:tcPr>
            <w:tcW w:type="dxa" w:w="3022"/>
          </w:tcPr>
          <w:p>
            <w:pPr>
              <w:jc w:val="left"/>
            </w:pPr>
            <w:r>
              <w:rPr>
                <w:rFonts w:ascii="Calibri" w:hAnsi="Calibri"/>
                <w:sz w:val="19"/>
              </w:rPr>
              <w:t>5. Approval</w:t>
            </w:r>
          </w:p>
        </w:tc>
        <w:tc>
          <w:tcPr>
            <w:tcW w:type="dxa" w:w="3022"/>
          </w:tcPr>
          <w:p>
            <w:pPr>
              <w:jc w:val="center"/>
            </w:pPr>
            <w:r>
              <w:rPr>
                <w:rFonts w:ascii="Calibri" w:hAnsi="Calibri"/>
                <w:sz w:val="19"/>
              </w:rPr>
              <w:t>System automatically checks pool availability and your status</w:t>
            </w:r>
          </w:p>
        </w:tc>
        <w:tc>
          <w:tcPr>
            <w:tcW w:type="dxa" w:w="3022"/>
          </w:tcPr>
          <w:p>
            <w:pPr>
              <w:jc w:val="center"/>
            </w:pPr>
            <w:r>
              <w:rPr>
                <w:rFonts w:ascii="Calibri" w:hAnsi="Calibri"/>
                <w:sz w:val="19"/>
              </w:rPr>
              <w:t>Instant</w:t>
            </w:r>
          </w:p>
        </w:tc>
      </w:tr>
      <w:tr>
        <w:tc>
          <w:tcPr>
            <w:tcW w:type="dxa" w:w="3022"/>
            <w:shd w:val="clear" w:color="auto" w:fill="EEF3FA"/>
          </w:tcPr>
          <w:p>
            <w:pPr>
              <w:jc w:val="left"/>
            </w:pPr>
            <w:r>
              <w:rPr>
                <w:rFonts w:ascii="Calibri" w:hAnsi="Calibri"/>
                <w:sz w:val="19"/>
              </w:rPr>
              <w:t>6. Receive funds</w:t>
            </w:r>
          </w:p>
        </w:tc>
        <w:tc>
          <w:tcPr>
            <w:tcW w:type="dxa" w:w="3022"/>
            <w:shd w:val="clear" w:color="auto" w:fill="EEF3FA"/>
          </w:tcPr>
          <w:p>
            <w:pPr>
              <w:jc w:val="center"/>
            </w:pPr>
            <w:r>
              <w:rPr>
                <w:rFonts w:ascii="Calibri" w:hAnsi="Calibri"/>
                <w:sz w:val="19"/>
              </w:rPr>
              <w:t>Money transferred to your account</w:t>
            </w:r>
          </w:p>
        </w:tc>
        <w:tc>
          <w:tcPr>
            <w:tcW w:type="dxa" w:w="3022"/>
            <w:shd w:val="clear" w:color="auto" w:fill="EEF3FA"/>
          </w:tcPr>
          <w:p>
            <w:pPr>
              <w:jc w:val="center"/>
            </w:pPr>
            <w:r>
              <w:rPr>
                <w:rFonts w:ascii="Calibri" w:hAnsi="Calibri"/>
                <w:sz w:val="19"/>
              </w:rPr>
              <w:t>Within 24 hours</w:t>
            </w:r>
          </w:p>
        </w:tc>
      </w:tr>
    </w:tbl>
    <w:p>
      <w:pPr>
        <w:spacing w:after="60"/>
      </w:pPr>
    </w:p>
    <w:p>
      <w:pPr>
        <w:spacing w:after="80" w:before="0"/>
      </w:pPr>
    </w:p>
    <w:p>
      <w:pPr>
        <w:spacing w:before="200" w:after="100"/>
        <w:jc w:val="left"/>
      </w:pPr>
      <w:r>
        <w:rPr>
          <w:rFonts w:ascii="Calibri" w:hAnsi="Calibri"/>
          <w:b/>
          <w:color w:val="007A87"/>
          <w:sz w:val="24"/>
        </w:rPr>
        <w:t>What if your application is declined?</w:t>
      </w:r>
    </w:p>
    <w:p>
      <w:pPr>
        <w:spacing w:after="100" w:before="0"/>
        <w:jc w:val="left"/>
      </w:pPr>
      <w:r>
        <w:rPr>
          <w:rFonts w:ascii="Calibri" w:hAnsi="Calibri"/>
          <w:b w:val="0"/>
          <w:i w:val="0"/>
          <w:sz w:val="21"/>
        </w:rPr>
        <w:t>There are only three reasons for a decline, and all are temporary:</w:t>
      </w:r>
    </w:p>
    <w:p>
      <w:pPr>
        <w:pStyle w:val="ListBullet"/>
        <w:spacing w:after="60" w:before="20"/>
        <w:ind w:left="454"/>
      </w:pPr>
      <w:r>
        <w:rPr>
          <w:rFonts w:ascii="Calibri" w:hAnsi="Calibri"/>
          <w:sz w:val="21"/>
        </w:rPr>
        <w:t>You are in an active freeze window — it will expire</w:t>
      </w:r>
    </w:p>
    <w:p>
      <w:pPr>
        <w:pStyle w:val="ListBullet"/>
        <w:spacing w:after="60" w:before="20"/>
        <w:ind w:left="454"/>
      </w:pPr>
      <w:r>
        <w:rPr>
          <w:rFonts w:ascii="Calibri" w:hAnsi="Calibri"/>
          <w:sz w:val="21"/>
        </w:rPr>
        <w:t>You have an active TB loan still being repaid — complete that one first</w:t>
      </w:r>
    </w:p>
    <w:p>
      <w:pPr>
        <w:pStyle w:val="ListBullet"/>
        <w:spacing w:after="60" w:before="20"/>
        <w:ind w:left="454"/>
      </w:pPr>
      <w:r>
        <w:rPr>
          <w:rFonts w:ascii="Calibri" w:hAnsi="Calibri"/>
          <w:sz w:val="21"/>
        </w:rPr>
        <w:t>The pool is temporarily below the reserve floor — rare; check again in weeks</w:t>
      </w:r>
    </w:p>
    <w:p>
      <w:r>
        <w:br w:type="page"/>
      </w:r>
    </w:p>
    <w:p>
      <w:pPr>
        <w:spacing w:before="200" w:after="100"/>
        <w:jc w:val="left"/>
      </w:pPr>
      <w:r>
        <w:rPr>
          <w:rFonts w:ascii="Calibri" w:hAnsi="Calibri"/>
          <w:b/>
          <w:color w:val="1A375E"/>
          <w:sz w:val="36"/>
        </w:rPr>
        <w:t>4.  What Can You Use It For?</w:t>
      </w:r>
    </w:p>
    <w:p>
      <w:pPr>
        <w:spacing w:before="80" w:after="80"/>
        <w:pBdr>
          <w:bottom w:val="single" w:sz="6" w:space="1" w:color="007A87"/>
        </w:pBdr>
      </w:pPr>
    </w:p>
    <w:p>
      <w:pPr>
        <w:spacing w:after="100" w:before="0"/>
        <w:jc w:val="left"/>
      </w:pPr>
      <w:r>
        <w:rPr>
          <w:rFonts w:ascii="Calibri" w:hAnsi="Calibri"/>
          <w:b w:val="0"/>
          <w:i w:val="0"/>
          <w:sz w:val="21"/>
        </w:rPr>
        <w:t>There are no restrictions on how you use your Time Borrowing advance. However, the instrument is designed and optimised for three primary uses that generate the highest return — for you and for the economy:</w:t>
      </w:r>
    </w:p>
    <w:p>
      <w:pPr>
        <w:spacing w:before="200" w:after="100"/>
        <w:jc w:val="left"/>
      </w:pPr>
      <w:r>
        <w:rPr>
          <w:rFonts w:ascii="Calibri" w:hAnsi="Calibri"/>
          <w:b/>
          <w:color w:val="007A87"/>
          <w:sz w:val="24"/>
        </w:rPr>
        <w:t>Primary Uses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07A87"/>
          </w:tcPr>
          <w:p>
            <w:pPr>
              <w:jc w:val="center"/>
            </w:pPr>
            <w:r>
              <w:rPr>
                <w:rFonts w:ascii="Calibri" w:hAnsi="Calibri"/>
                <w:b/>
                <w:color w:val="FFFFFF"/>
                <w:sz w:val="19"/>
              </w:rPr>
              <w:t>Use Case</w:t>
            </w:r>
          </w:p>
        </w:tc>
        <w:tc>
          <w:tcPr>
            <w:tcW w:type="dxa" w:w="3022"/>
            <w:shd w:val="clear" w:color="auto" w:fill="007A87"/>
          </w:tcPr>
          <w:p>
            <w:pPr>
              <w:jc w:val="center"/>
            </w:pPr>
            <w:r>
              <w:rPr>
                <w:rFonts w:ascii="Calibri" w:hAnsi="Calibri"/>
                <w:b/>
                <w:color w:val="FFFFFF"/>
                <w:sz w:val="19"/>
              </w:rPr>
              <w:t>What This Looks Like</w:t>
            </w:r>
          </w:p>
        </w:tc>
        <w:tc>
          <w:tcPr>
            <w:tcW w:type="dxa" w:w="3022"/>
            <w:shd w:val="clear" w:color="auto" w:fill="007A87"/>
          </w:tcPr>
          <w:p>
            <w:pPr>
              <w:jc w:val="center"/>
            </w:pPr>
            <w:r>
              <w:rPr>
                <w:rFonts w:ascii="Calibri" w:hAnsi="Calibri"/>
                <w:b/>
                <w:color w:val="FFFFFF"/>
                <w:sz w:val="19"/>
              </w:rPr>
              <w:t>Why It Works</w:t>
            </w:r>
          </w:p>
        </w:tc>
      </w:tr>
      <w:tr>
        <w:tc>
          <w:tcPr>
            <w:tcW w:type="dxa" w:w="3022"/>
          </w:tcPr>
          <w:p>
            <w:pPr>
              <w:jc w:val="left"/>
            </w:pPr>
            <w:r>
              <w:rPr>
                <w:rFonts w:ascii="Calibri" w:hAnsi="Calibri"/>
                <w:sz w:val="19"/>
              </w:rPr>
              <w:t>Education &amp; Training</w:t>
            </w:r>
          </w:p>
        </w:tc>
        <w:tc>
          <w:tcPr>
            <w:tcW w:type="dxa" w:w="3022"/>
          </w:tcPr>
          <w:p>
            <w:pPr>
              <w:jc w:val="center"/>
            </w:pPr>
            <w:r>
              <w:rPr>
                <w:rFonts w:ascii="Calibri" w:hAnsi="Calibri"/>
                <w:sz w:val="19"/>
              </w:rPr>
              <w:t>University tuition, vocational courses, coding bootcamps, professional certifications</w:t>
            </w:r>
          </w:p>
        </w:tc>
        <w:tc>
          <w:tcPr>
            <w:tcW w:type="dxa" w:w="3022"/>
          </w:tcPr>
          <w:p>
            <w:pPr>
              <w:jc w:val="center"/>
            </w:pPr>
            <w:r>
              <w:rPr>
                <w:rFonts w:ascii="Calibri" w:hAnsi="Calibri"/>
                <w:sz w:val="19"/>
              </w:rPr>
              <w:t>65% completion rate → you earn more → you repay easily and faster</w:t>
            </w:r>
          </w:p>
        </w:tc>
      </w:tr>
      <w:tr>
        <w:tc>
          <w:tcPr>
            <w:tcW w:type="dxa" w:w="3022"/>
            <w:shd w:val="clear" w:color="auto" w:fill="EEF3FA"/>
          </w:tcPr>
          <w:p>
            <w:pPr>
              <w:jc w:val="left"/>
            </w:pPr>
            <w:r>
              <w:rPr>
                <w:rFonts w:ascii="Calibri" w:hAnsi="Calibri"/>
                <w:sz w:val="19"/>
              </w:rPr>
              <w:t>Starting a Business</w:t>
            </w:r>
          </w:p>
        </w:tc>
        <w:tc>
          <w:tcPr>
            <w:tcW w:type="dxa" w:w="3022"/>
            <w:shd w:val="clear" w:color="auto" w:fill="EEF3FA"/>
          </w:tcPr>
          <w:p>
            <w:pPr>
              <w:jc w:val="center"/>
            </w:pPr>
            <w:r>
              <w:rPr>
                <w:rFonts w:ascii="Calibri" w:hAnsi="Calibri"/>
                <w:sz w:val="19"/>
              </w:rPr>
              <w:t>Seed capital for a micro-business, sole trader setup, online business, market stall</w:t>
            </w:r>
          </w:p>
        </w:tc>
        <w:tc>
          <w:tcPr>
            <w:tcW w:type="dxa" w:w="3022"/>
            <w:shd w:val="clear" w:color="auto" w:fill="EEF3FA"/>
          </w:tcPr>
          <w:p>
            <w:pPr>
              <w:jc w:val="center"/>
            </w:pPr>
            <w:r>
              <w:rPr>
                <w:rFonts w:ascii="Calibri" w:hAnsi="Calibri"/>
                <w:sz w:val="19"/>
              </w:rPr>
              <w:t>40% of TB-funded startups survive 5yr → job creation, tax base growth</w:t>
            </w:r>
          </w:p>
        </w:tc>
      </w:tr>
      <w:tr>
        <w:tc>
          <w:tcPr>
            <w:tcW w:type="dxa" w:w="3022"/>
          </w:tcPr>
          <w:p>
            <w:pPr>
              <w:jc w:val="left"/>
            </w:pPr>
            <w:r>
              <w:rPr>
                <w:rFonts w:ascii="Calibri" w:hAnsi="Calibri"/>
                <w:sz w:val="19"/>
              </w:rPr>
              <w:t>Bridging Hardship</w:t>
            </w:r>
          </w:p>
        </w:tc>
        <w:tc>
          <w:tcPr>
            <w:tcW w:type="dxa" w:w="3022"/>
          </w:tcPr>
          <w:p>
            <w:pPr>
              <w:jc w:val="center"/>
            </w:pPr>
            <w:r>
              <w:rPr>
                <w:rFonts w:ascii="Calibri" w:hAnsi="Calibri"/>
                <w:sz w:val="19"/>
              </w:rPr>
              <w:t>Medical crisis, redundancy gap, housing emergency, caring responsibilities</w:t>
            </w:r>
          </w:p>
        </w:tc>
        <w:tc>
          <w:tcPr>
            <w:tcW w:type="dxa" w:w="3022"/>
          </w:tcPr>
          <w:p>
            <w:pPr>
              <w:jc w:val="center"/>
            </w:pPr>
            <w:r>
              <w:rPr>
                <w:rFonts w:ascii="Calibri" w:hAnsi="Calibri"/>
                <w:sz w:val="19"/>
              </w:rPr>
              <w:t>Prevents debt spirals and welfare dependency — time-limited, dignity-preserving</w:t>
            </w:r>
          </w:p>
        </w:tc>
      </w:tr>
    </w:tbl>
    <w:p>
      <w:pPr>
        <w:spacing w:after="60"/>
      </w:pPr>
    </w:p>
    <w:p>
      <w:pPr>
        <w:spacing w:before="200" w:after="100"/>
        <w:jc w:val="left"/>
      </w:pPr>
      <w:r>
        <w:rPr>
          <w:rFonts w:ascii="Calibri" w:hAnsi="Calibri"/>
          <w:b/>
          <w:color w:val="C67C11"/>
          <w:sz w:val="24"/>
        </w:rPr>
        <w:t>The system does not verify your specific use upfront.</w:t>
      </w:r>
    </w:p>
    <w:p>
      <w:pPr>
        <w:spacing w:after="100" w:before="0"/>
        <w:jc w:val="left"/>
      </w:pPr>
      <w:r>
        <w:rPr>
          <w:rFonts w:ascii="Calibri" w:hAnsi="Calibri"/>
          <w:b w:val="0"/>
          <w:i w:val="0"/>
          <w:sz w:val="21"/>
        </w:rPr>
        <w:t>Why? Because the goal is to empower you, not to police you. If you use the advance productively, you will repay it comfortably. If you use it unproductively, the TDRW system catches it through repayment outcomes — not through upfront surveillance.</w:t>
      </w:r>
    </w:p>
    <w:p>
      <w:r>
        <w:br w:type="page"/>
      </w:r>
    </w:p>
    <w:p>
      <w:pPr>
        <w:spacing w:before="200" w:after="100"/>
        <w:jc w:val="left"/>
      </w:pPr>
      <w:r>
        <w:rPr>
          <w:rFonts w:ascii="Calibri" w:hAnsi="Calibri"/>
          <w:b/>
          <w:color w:val="1A375E"/>
          <w:sz w:val="36"/>
        </w:rPr>
        <w:t>5.  How Does Repayment Work?</w:t>
      </w:r>
    </w:p>
    <w:p>
      <w:pPr>
        <w:spacing w:before="80" w:after="80"/>
        <w:pBdr>
          <w:bottom w:val="single" w:sz="6" w:space="1" w:color="007A87"/>
        </w:pBdr>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The most important thing to understand: you are repaying with ZERO percent interest. You pay back exactly what you borrowed — nothing more. The repayment is divided equally across your chosen window.</w:t>
            </w:r>
          </w:p>
        </w:tc>
      </w:tr>
    </w:tbl>
    <w:p>
      <w:pPr>
        <w:spacing w:after="60"/>
      </w:pPr>
    </w:p>
    <w:p>
      <w:pPr>
        <w:spacing w:before="200" w:after="100"/>
        <w:jc w:val="left"/>
      </w:pPr>
      <w:r>
        <w:rPr>
          <w:rFonts w:ascii="Calibri" w:hAnsi="Calibri"/>
          <w:b/>
          <w:color w:val="007A87"/>
          <w:sz w:val="24"/>
        </w:rPr>
        <w:t>Example repayment schedules: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1A375E"/>
          </w:tcPr>
          <w:p>
            <w:pPr>
              <w:jc w:val="center"/>
            </w:pPr>
            <w:r>
              <w:rPr>
                <w:rFonts w:ascii="Calibri" w:hAnsi="Calibri"/>
                <w:b/>
                <w:color w:val="FFFFFF"/>
                <w:sz w:val="19"/>
              </w:rPr>
              <w:t>Amount Borrowed</w:t>
            </w:r>
          </w:p>
        </w:tc>
        <w:tc>
          <w:tcPr>
            <w:tcW w:type="dxa" w:w="1813"/>
            <w:shd w:val="clear" w:color="auto" w:fill="1A375E"/>
          </w:tcPr>
          <w:p>
            <w:pPr>
              <w:jc w:val="center"/>
            </w:pPr>
            <w:r>
              <w:rPr>
                <w:rFonts w:ascii="Calibri" w:hAnsi="Calibri"/>
                <w:b/>
                <w:color w:val="FFFFFF"/>
                <w:sz w:val="19"/>
              </w:rPr>
              <w:t>Repayment Window</w:t>
            </w:r>
          </w:p>
        </w:tc>
        <w:tc>
          <w:tcPr>
            <w:tcW w:type="dxa" w:w="1813"/>
            <w:shd w:val="clear" w:color="auto" w:fill="1A375E"/>
          </w:tcPr>
          <w:p>
            <w:pPr>
              <w:jc w:val="center"/>
            </w:pPr>
            <w:r>
              <w:rPr>
                <w:rFonts w:ascii="Calibri" w:hAnsi="Calibri"/>
                <w:b/>
                <w:color w:val="FFFFFF"/>
                <w:sz w:val="19"/>
              </w:rPr>
              <w:t>Annual Payment</w:t>
            </w:r>
          </w:p>
        </w:tc>
        <w:tc>
          <w:tcPr>
            <w:tcW w:type="dxa" w:w="1813"/>
            <w:shd w:val="clear" w:color="auto" w:fill="1A375E"/>
          </w:tcPr>
          <w:p>
            <w:pPr>
              <w:jc w:val="center"/>
            </w:pPr>
            <w:r>
              <w:rPr>
                <w:rFonts w:ascii="Calibri" w:hAnsi="Calibri"/>
                <w:b/>
                <w:color w:val="FFFFFF"/>
                <w:sz w:val="19"/>
              </w:rPr>
              <w:t>Monthly Payment</w:t>
            </w:r>
          </w:p>
        </w:tc>
        <w:tc>
          <w:tcPr>
            <w:tcW w:type="dxa" w:w="1813"/>
            <w:shd w:val="clear" w:color="auto" w:fill="1A375E"/>
          </w:tcPr>
          <w:p>
            <w:pPr>
              <w:jc w:val="center"/>
            </w:pPr>
            <w:r>
              <w:rPr>
                <w:rFonts w:ascii="Calibri" w:hAnsi="Calibri"/>
                <w:b/>
                <w:color w:val="FFFFFF"/>
                <w:sz w:val="19"/>
              </w:rPr>
              <w:t>Total Repaid</w:t>
            </w:r>
          </w:p>
        </w:tc>
      </w:tr>
      <w:tr>
        <w:tc>
          <w:tcPr>
            <w:tcW w:type="dxa" w:w="1813"/>
          </w:tcPr>
          <w:p>
            <w:pPr>
              <w:jc w:val="left"/>
            </w:pPr>
            <w:r>
              <w:rPr>
                <w:rFonts w:ascii="Calibri" w:hAnsi="Calibri"/>
                <w:sz w:val="19"/>
              </w:rPr>
              <w:t>1,000 units</w:t>
            </w:r>
          </w:p>
        </w:tc>
        <w:tc>
          <w:tcPr>
            <w:tcW w:type="dxa" w:w="1813"/>
          </w:tcPr>
          <w:p>
            <w:pPr>
              <w:jc w:val="center"/>
            </w:pPr>
            <w:r>
              <w:rPr>
                <w:rFonts w:ascii="Calibri" w:hAnsi="Calibri"/>
                <w:sz w:val="19"/>
              </w:rPr>
              <w:t>2 years</w:t>
            </w:r>
          </w:p>
        </w:tc>
        <w:tc>
          <w:tcPr>
            <w:tcW w:type="dxa" w:w="1813"/>
          </w:tcPr>
          <w:p>
            <w:pPr>
              <w:jc w:val="center"/>
            </w:pPr>
            <w:r>
              <w:rPr>
                <w:rFonts w:ascii="Calibri" w:hAnsi="Calibri"/>
                <w:sz w:val="19"/>
              </w:rPr>
              <w:t>500 units/yr</w:t>
            </w:r>
          </w:p>
        </w:tc>
        <w:tc>
          <w:tcPr>
            <w:tcW w:type="dxa" w:w="1813"/>
          </w:tcPr>
          <w:p>
            <w:pPr>
              <w:jc w:val="center"/>
            </w:pPr>
            <w:r>
              <w:rPr>
                <w:rFonts w:ascii="Calibri" w:hAnsi="Calibri"/>
                <w:sz w:val="19"/>
              </w:rPr>
              <w:t>~42 units/mo</w:t>
            </w:r>
          </w:p>
        </w:tc>
        <w:tc>
          <w:tcPr>
            <w:tcW w:type="dxa" w:w="1813"/>
          </w:tcPr>
          <w:p>
            <w:pPr>
              <w:jc w:val="center"/>
            </w:pPr>
            <w:r>
              <w:rPr>
                <w:rFonts w:ascii="Calibri" w:hAnsi="Calibri"/>
                <w:sz w:val="19"/>
              </w:rPr>
              <w:t>1,000 (no extra)</w:t>
            </w:r>
          </w:p>
        </w:tc>
      </w:tr>
      <w:tr>
        <w:tc>
          <w:tcPr>
            <w:tcW w:type="dxa" w:w="1813"/>
            <w:shd w:val="clear" w:color="auto" w:fill="EEF3FA"/>
          </w:tcPr>
          <w:p>
            <w:pPr>
              <w:jc w:val="left"/>
            </w:pPr>
            <w:r>
              <w:rPr>
                <w:rFonts w:ascii="Calibri" w:hAnsi="Calibri"/>
                <w:sz w:val="19"/>
              </w:rPr>
              <w:t>2,500 units</w:t>
            </w:r>
          </w:p>
        </w:tc>
        <w:tc>
          <w:tcPr>
            <w:tcW w:type="dxa" w:w="1813"/>
            <w:shd w:val="clear" w:color="auto" w:fill="EEF3FA"/>
          </w:tcPr>
          <w:p>
            <w:pPr>
              <w:jc w:val="center"/>
            </w:pPr>
            <w:r>
              <w:rPr>
                <w:rFonts w:ascii="Calibri" w:hAnsi="Calibri"/>
                <w:sz w:val="19"/>
              </w:rPr>
              <w:t>3 years</w:t>
            </w:r>
          </w:p>
        </w:tc>
        <w:tc>
          <w:tcPr>
            <w:tcW w:type="dxa" w:w="1813"/>
            <w:shd w:val="clear" w:color="auto" w:fill="EEF3FA"/>
          </w:tcPr>
          <w:p>
            <w:pPr>
              <w:jc w:val="center"/>
            </w:pPr>
            <w:r>
              <w:rPr>
                <w:rFonts w:ascii="Calibri" w:hAnsi="Calibri"/>
                <w:sz w:val="19"/>
              </w:rPr>
              <w:t>833 units/yr</w:t>
            </w:r>
          </w:p>
        </w:tc>
        <w:tc>
          <w:tcPr>
            <w:tcW w:type="dxa" w:w="1813"/>
            <w:shd w:val="clear" w:color="auto" w:fill="EEF3FA"/>
          </w:tcPr>
          <w:p>
            <w:pPr>
              <w:jc w:val="center"/>
            </w:pPr>
            <w:r>
              <w:rPr>
                <w:rFonts w:ascii="Calibri" w:hAnsi="Calibri"/>
                <w:sz w:val="19"/>
              </w:rPr>
              <w:t>~69 units/mo</w:t>
            </w:r>
          </w:p>
        </w:tc>
        <w:tc>
          <w:tcPr>
            <w:tcW w:type="dxa" w:w="1813"/>
            <w:shd w:val="clear" w:color="auto" w:fill="EEF3FA"/>
          </w:tcPr>
          <w:p>
            <w:pPr>
              <w:jc w:val="center"/>
            </w:pPr>
            <w:r>
              <w:rPr>
                <w:rFonts w:ascii="Calibri" w:hAnsi="Calibri"/>
                <w:sz w:val="19"/>
              </w:rPr>
              <w:t>2,500 (no extra)</w:t>
            </w:r>
          </w:p>
        </w:tc>
      </w:tr>
      <w:tr>
        <w:tc>
          <w:tcPr>
            <w:tcW w:type="dxa" w:w="1813"/>
          </w:tcPr>
          <w:p>
            <w:pPr>
              <w:jc w:val="left"/>
            </w:pPr>
            <w:r>
              <w:rPr>
                <w:rFonts w:ascii="Calibri" w:hAnsi="Calibri"/>
                <w:sz w:val="19"/>
              </w:rPr>
              <w:t>5,000 units</w:t>
            </w:r>
          </w:p>
        </w:tc>
        <w:tc>
          <w:tcPr>
            <w:tcW w:type="dxa" w:w="1813"/>
          </w:tcPr>
          <w:p>
            <w:pPr>
              <w:jc w:val="center"/>
            </w:pPr>
            <w:r>
              <w:rPr>
                <w:rFonts w:ascii="Calibri" w:hAnsi="Calibri"/>
                <w:sz w:val="19"/>
              </w:rPr>
              <w:t>5 years</w:t>
            </w:r>
          </w:p>
        </w:tc>
        <w:tc>
          <w:tcPr>
            <w:tcW w:type="dxa" w:w="1813"/>
          </w:tcPr>
          <w:p>
            <w:pPr>
              <w:jc w:val="center"/>
            </w:pPr>
            <w:r>
              <w:rPr>
                <w:rFonts w:ascii="Calibri" w:hAnsi="Calibri"/>
                <w:sz w:val="19"/>
              </w:rPr>
              <w:t>1,000 units/yr</w:t>
            </w:r>
          </w:p>
        </w:tc>
        <w:tc>
          <w:tcPr>
            <w:tcW w:type="dxa" w:w="1813"/>
          </w:tcPr>
          <w:p>
            <w:pPr>
              <w:jc w:val="center"/>
            </w:pPr>
            <w:r>
              <w:rPr>
                <w:rFonts w:ascii="Calibri" w:hAnsi="Calibri"/>
                <w:sz w:val="19"/>
              </w:rPr>
              <w:t>~83 units/mo</w:t>
            </w:r>
          </w:p>
        </w:tc>
        <w:tc>
          <w:tcPr>
            <w:tcW w:type="dxa" w:w="1813"/>
          </w:tcPr>
          <w:p>
            <w:pPr>
              <w:jc w:val="center"/>
            </w:pPr>
            <w:r>
              <w:rPr>
                <w:rFonts w:ascii="Calibri" w:hAnsi="Calibri"/>
                <w:sz w:val="19"/>
              </w:rPr>
              <w:t>5,000 (no extra)</w:t>
            </w:r>
          </w:p>
        </w:tc>
      </w:tr>
    </w:tbl>
    <w:p>
      <w:pPr>
        <w:spacing w:after="60"/>
      </w:pPr>
    </w:p>
    <w:p>
      <w:pPr>
        <w:spacing w:before="200" w:after="100"/>
        <w:jc w:val="left"/>
      </w:pPr>
      <w:r>
        <w:rPr>
          <w:rFonts w:ascii="Calibri" w:hAnsi="Calibri"/>
          <w:b/>
          <w:color w:val="007A87"/>
          <w:sz w:val="24"/>
        </w:rPr>
        <w:t>What if I cannot pay in a specific year?</w:t>
      </w:r>
    </w:p>
    <w:p>
      <w:pPr>
        <w:spacing w:after="100" w:before="0"/>
        <w:jc w:val="left"/>
      </w:pPr>
      <w:r>
        <w:rPr>
          <w:rFonts w:ascii="Calibri" w:hAnsi="Calibri"/>
          <w:b w:val="0"/>
          <w:i w:val="0"/>
          <w:sz w:val="21"/>
        </w:rPr>
        <w:t>The threshold is 30%. If you repay at least 30% of your total obligation by the end of your window, there is NO freeze. The system recognises that life is unpredictable. You are only at risk of a freeze if you repay LESS than 30%.</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007A87"/>
          </w:tcPr>
          <w:p>
            <w:pPr>
              <w:jc w:val="center"/>
            </w:pPr>
            <w:r>
              <w:rPr>
                <w:rFonts w:ascii="Calibri" w:hAnsi="Calibri"/>
                <w:b/>
                <w:color w:val="FFFFFF"/>
                <w:sz w:val="19"/>
              </w:rPr>
              <w:t>You repaid...</w:t>
            </w:r>
          </w:p>
        </w:tc>
        <w:tc>
          <w:tcPr>
            <w:tcW w:type="dxa" w:w="4533"/>
            <w:shd w:val="clear" w:color="auto" w:fill="007A87"/>
          </w:tcPr>
          <w:p>
            <w:pPr>
              <w:jc w:val="center"/>
            </w:pPr>
            <w:r>
              <w:rPr>
                <w:rFonts w:ascii="Calibri" w:hAnsi="Calibri"/>
                <w:b/>
                <w:color w:val="FFFFFF"/>
                <w:sz w:val="19"/>
              </w:rPr>
              <w:t>What happens?</w:t>
            </w:r>
          </w:p>
        </w:tc>
      </w:tr>
      <w:tr>
        <w:tc>
          <w:tcPr>
            <w:tcW w:type="dxa" w:w="4533"/>
          </w:tcPr>
          <w:p>
            <w:pPr>
              <w:jc w:val="left"/>
            </w:pPr>
            <w:r>
              <w:rPr>
                <w:rFonts w:ascii="Calibri" w:hAnsi="Calibri"/>
                <w:sz w:val="19"/>
              </w:rPr>
              <w:t>100% of your advance</w:t>
            </w:r>
          </w:p>
        </w:tc>
        <w:tc>
          <w:tcPr>
            <w:tcW w:type="dxa" w:w="4533"/>
          </w:tcPr>
          <w:p>
            <w:pPr>
              <w:jc w:val="center"/>
            </w:pPr>
            <w:r>
              <w:rPr>
                <w:rFonts w:ascii="Calibri" w:hAnsi="Calibri"/>
                <w:sz w:val="19"/>
              </w:rPr>
              <w:t>No freeze. Pool refilled. You may apply again immediately.</w:t>
            </w:r>
          </w:p>
        </w:tc>
      </w:tr>
      <w:tr>
        <w:tc>
          <w:tcPr>
            <w:tcW w:type="dxa" w:w="4533"/>
            <w:shd w:val="clear" w:color="auto" w:fill="EEF3FA"/>
          </w:tcPr>
          <w:p>
            <w:pPr>
              <w:jc w:val="left"/>
            </w:pPr>
            <w:r>
              <w:rPr>
                <w:rFonts w:ascii="Calibri" w:hAnsi="Calibri"/>
                <w:sz w:val="19"/>
              </w:rPr>
              <w:t>50% of your advance</w:t>
            </w:r>
          </w:p>
        </w:tc>
        <w:tc>
          <w:tcPr>
            <w:tcW w:type="dxa" w:w="4533"/>
            <w:shd w:val="clear" w:color="auto" w:fill="EEF3FA"/>
          </w:tcPr>
          <w:p>
            <w:pPr>
              <w:jc w:val="center"/>
            </w:pPr>
            <w:r>
              <w:rPr>
                <w:rFonts w:ascii="Calibri" w:hAnsi="Calibri"/>
                <w:sz w:val="19"/>
              </w:rPr>
              <w:t>No freeze. You are encouraged to clear the remainder.</w:t>
            </w:r>
          </w:p>
        </w:tc>
      </w:tr>
      <w:tr>
        <w:tc>
          <w:tcPr>
            <w:tcW w:type="dxa" w:w="4533"/>
          </w:tcPr>
          <w:p>
            <w:pPr>
              <w:jc w:val="left"/>
            </w:pPr>
            <w:r>
              <w:rPr>
                <w:rFonts w:ascii="Calibri" w:hAnsi="Calibri"/>
                <w:sz w:val="19"/>
              </w:rPr>
              <w:t>30% exactly</w:t>
            </w:r>
          </w:p>
        </w:tc>
        <w:tc>
          <w:tcPr>
            <w:tcW w:type="dxa" w:w="4533"/>
          </w:tcPr>
          <w:p>
            <w:pPr>
              <w:jc w:val="center"/>
            </w:pPr>
            <w:r>
              <w:rPr>
                <w:rFonts w:ascii="Calibri" w:hAnsi="Calibri"/>
                <w:sz w:val="19"/>
              </w:rPr>
              <w:t>No freeze. You are at the threshold — no penalty.</w:t>
            </w:r>
          </w:p>
        </w:tc>
      </w:tr>
      <w:tr>
        <w:tc>
          <w:tcPr>
            <w:tcW w:type="dxa" w:w="4533"/>
            <w:shd w:val="clear" w:color="auto" w:fill="EEF3FA"/>
          </w:tcPr>
          <w:p>
            <w:pPr>
              <w:jc w:val="left"/>
            </w:pPr>
            <w:r>
              <w:rPr>
                <w:rFonts w:ascii="Calibri" w:hAnsi="Calibri"/>
                <w:sz w:val="19"/>
              </w:rPr>
              <w:t>20% (below threshold)</w:t>
            </w:r>
          </w:p>
        </w:tc>
        <w:tc>
          <w:tcPr>
            <w:tcW w:type="dxa" w:w="4533"/>
            <w:shd w:val="clear" w:color="auto" w:fill="EEF3FA"/>
          </w:tcPr>
          <w:p>
            <w:pPr>
              <w:jc w:val="center"/>
            </w:pPr>
            <w:r>
              <w:rPr>
                <w:rFonts w:ascii="Calibri" w:hAnsi="Calibri"/>
                <w:sz w:val="19"/>
              </w:rPr>
              <w:t>TDRW freeze calculated: typically 2–3 years depending on window.</w:t>
            </w:r>
          </w:p>
        </w:tc>
      </w:tr>
      <w:tr>
        <w:tc>
          <w:tcPr>
            <w:tcW w:type="dxa" w:w="4533"/>
          </w:tcPr>
          <w:p>
            <w:pPr>
              <w:jc w:val="left"/>
            </w:pPr>
            <w:r>
              <w:rPr>
                <w:rFonts w:ascii="Calibri" w:hAnsi="Calibri"/>
                <w:sz w:val="19"/>
              </w:rPr>
              <w:t>0% (full default, 1st time)</w:t>
            </w:r>
          </w:p>
        </w:tc>
        <w:tc>
          <w:tcPr>
            <w:tcW w:type="dxa" w:w="4533"/>
          </w:tcPr>
          <w:p>
            <w:pPr>
              <w:jc w:val="center"/>
            </w:pPr>
            <w:r>
              <w:rPr>
                <w:rFonts w:ascii="Calibri" w:hAnsi="Calibri"/>
                <w:sz w:val="19"/>
              </w:rPr>
              <w:t>Freeze typically 3–4 years. You may apply again after the freeze.</w:t>
            </w:r>
          </w:p>
        </w:tc>
      </w:tr>
      <w:tr>
        <w:tc>
          <w:tcPr>
            <w:tcW w:type="dxa" w:w="4533"/>
            <w:shd w:val="clear" w:color="auto" w:fill="EEF3FA"/>
          </w:tcPr>
          <w:p>
            <w:pPr>
              <w:jc w:val="left"/>
            </w:pPr>
            <w:r>
              <w:rPr>
                <w:rFonts w:ascii="Calibri" w:hAnsi="Calibri"/>
                <w:sz w:val="19"/>
              </w:rPr>
              <w:t>0% (full default, 3rd time)</w:t>
            </w:r>
          </w:p>
        </w:tc>
        <w:tc>
          <w:tcPr>
            <w:tcW w:type="dxa" w:w="4533"/>
            <w:shd w:val="clear" w:color="auto" w:fill="EEF3FA"/>
          </w:tcPr>
          <w:p>
            <w:pPr>
              <w:jc w:val="center"/>
            </w:pPr>
            <w:r>
              <w:rPr>
                <w:rFonts w:ascii="Calibri" w:hAnsi="Calibri"/>
                <w:sz w:val="19"/>
              </w:rPr>
              <w:t>Freeze up to 7 years (maximum cap). Always ends.</w:t>
            </w:r>
          </w:p>
        </w:tc>
      </w:tr>
    </w:tbl>
    <w:p>
      <w:pPr>
        <w:spacing w:after="60"/>
      </w:pPr>
    </w:p>
    <w:p>
      <w:r>
        <w:br w:type="page"/>
      </w:r>
    </w:p>
    <w:p>
      <w:pPr>
        <w:spacing w:before="200" w:after="100"/>
        <w:jc w:val="left"/>
      </w:pPr>
      <w:r>
        <w:rPr>
          <w:rFonts w:ascii="Calibri" w:hAnsi="Calibri"/>
          <w:b/>
          <w:color w:val="1A375E"/>
          <w:sz w:val="36"/>
        </w:rPr>
        <w:t>6.  What Happens if You Cannot Repay?</w:t>
      </w:r>
    </w:p>
    <w:p>
      <w:pPr>
        <w:spacing w:before="80" w:after="80"/>
        <w:pBdr>
          <w:bottom w:val="single" w:sz="6" w:space="1" w:color="007A87"/>
        </w:pBdr>
      </w:pPr>
    </w:p>
    <w:p>
      <w:pPr>
        <w:spacing w:after="100" w:before="0"/>
        <w:jc w:val="left"/>
      </w:pPr>
      <w:r>
        <w:rPr>
          <w:rFonts w:ascii="Calibri" w:hAnsi="Calibri"/>
          <w:b w:val="0"/>
          <w:i w:val="0"/>
          <w:sz w:val="21"/>
        </w:rPr>
        <w:t>This is perhaps the most important question for most people. The honest answer: nothing catastrophic. Time Borrowing is designed with the understanding that some people will face genuine hardship. Here is what does and does NOT happen:</w:t>
      </w:r>
    </w:p>
    <w:p>
      <w:pPr>
        <w:spacing w:before="200" w:after="100"/>
        <w:jc w:val="left"/>
      </w:pPr>
      <w:r>
        <w:rPr>
          <w:rFonts w:ascii="Calibri" w:hAnsi="Calibri"/>
          <w:b/>
          <w:color w:val="AD1F1F"/>
          <w:sz w:val="24"/>
        </w:rPr>
        <w:t>What does NOT happen:</w:t>
      </w:r>
    </w:p>
    <w:p>
      <w:pPr>
        <w:pStyle w:val="ListBullet"/>
        <w:spacing w:after="60" w:before="20"/>
        <w:ind w:left="454"/>
      </w:pPr>
      <w:r>
        <w:rPr>
          <w:rFonts w:ascii="Calibri" w:hAnsi="Calibri"/>
          <w:color w:val="AD1F1F"/>
          <w:sz w:val="21"/>
        </w:rPr>
        <w:t>Your wages are NOT garnished</w:t>
      </w:r>
    </w:p>
    <w:p>
      <w:pPr>
        <w:pStyle w:val="ListBullet"/>
        <w:spacing w:after="60" w:before="20"/>
        <w:ind w:left="454"/>
      </w:pPr>
      <w:r>
        <w:rPr>
          <w:rFonts w:ascii="Calibri" w:hAnsi="Calibri"/>
          <w:color w:val="AD1F1F"/>
          <w:sz w:val="21"/>
        </w:rPr>
        <w:t>Debt collectors do NOT come to your door</w:t>
      </w:r>
    </w:p>
    <w:p>
      <w:pPr>
        <w:pStyle w:val="ListBullet"/>
        <w:spacing w:after="60" w:before="20"/>
        <w:ind w:left="454"/>
      </w:pPr>
      <w:r>
        <w:rPr>
          <w:rFonts w:ascii="Calibri" w:hAnsi="Calibri"/>
          <w:color w:val="AD1F1F"/>
          <w:sz w:val="21"/>
        </w:rPr>
        <w:t>Your credit score is NOT reported (no financial credit system involved)</w:t>
      </w:r>
    </w:p>
    <w:p>
      <w:pPr>
        <w:pStyle w:val="ListBullet"/>
        <w:spacing w:after="60" w:before="20"/>
        <w:ind w:left="454"/>
      </w:pPr>
      <w:r>
        <w:rPr>
          <w:rFonts w:ascii="Calibri" w:hAnsi="Calibri"/>
          <w:color w:val="AD1F1F"/>
          <w:sz w:val="21"/>
        </w:rPr>
        <w:t>You are NOT taken to court</w:t>
      </w:r>
    </w:p>
    <w:p>
      <w:pPr>
        <w:pStyle w:val="ListBullet"/>
        <w:spacing w:after="60" w:before="20"/>
        <w:ind w:left="454"/>
      </w:pPr>
      <w:r>
        <w:rPr>
          <w:rFonts w:ascii="Calibri" w:hAnsi="Calibri"/>
          <w:color w:val="AD1F1F"/>
          <w:sz w:val="21"/>
        </w:rPr>
        <w:t>You do NOT owe interest or penalties on unpaid amounts</w:t>
      </w:r>
    </w:p>
    <w:p>
      <w:pPr>
        <w:pStyle w:val="ListBullet"/>
        <w:spacing w:after="60" w:before="20"/>
        <w:ind w:left="454"/>
      </w:pPr>
      <w:r>
        <w:rPr>
          <w:rFonts w:ascii="Calibri" w:hAnsi="Calibri"/>
          <w:color w:val="AD1F1F"/>
          <w:sz w:val="21"/>
        </w:rPr>
        <w:t>Your children or family are NOT liable for your TB advance</w:t>
      </w:r>
    </w:p>
    <w:p>
      <w:pPr>
        <w:spacing w:before="200" w:after="100"/>
        <w:jc w:val="left"/>
      </w:pPr>
      <w:r>
        <w:rPr>
          <w:rFonts w:ascii="Calibri" w:hAnsi="Calibri"/>
          <w:b/>
          <w:color w:val="C67C11"/>
          <w:sz w:val="24"/>
        </w:rPr>
        <w:t>What DOES happen:</w:t>
      </w:r>
    </w:p>
    <w:p>
      <w:pPr>
        <w:pStyle w:val="ListBullet"/>
        <w:spacing w:after="60" w:before="20"/>
        <w:ind w:left="454"/>
      </w:pPr>
      <w:r>
        <w:rPr>
          <w:rFonts w:ascii="Calibri" w:hAnsi="Calibri"/>
          <w:sz w:val="21"/>
        </w:rPr>
        <w:t>A TDRW (Time-Debt Recovery Window) freeze is calculated based on how much you repaid</w:t>
      </w:r>
    </w:p>
    <w:p>
      <w:pPr>
        <w:pStyle w:val="ListBullet"/>
        <w:spacing w:after="60" w:before="20"/>
        <w:ind w:left="454"/>
      </w:pPr>
      <w:r>
        <w:rPr>
          <w:rFonts w:ascii="Calibri" w:hAnsi="Calibri"/>
          <w:sz w:val="21"/>
        </w:rPr>
        <w:t>During the freeze, you cannot apply for a NEW advance</w:t>
      </w:r>
    </w:p>
    <w:p>
      <w:pPr>
        <w:pStyle w:val="ListBullet"/>
        <w:spacing w:after="60" w:before="20"/>
        <w:ind w:left="454"/>
      </w:pPr>
      <w:r>
        <w:rPr>
          <w:rFonts w:ascii="Calibri" w:hAnsi="Calibri"/>
          <w:sz w:val="21"/>
        </w:rPr>
        <w:t>The freeze is temporary — there is a maximum cap of 7 years, even for repeat defaults</w:t>
      </w:r>
    </w:p>
    <w:p>
      <w:pPr>
        <w:pStyle w:val="ListBullet"/>
        <w:spacing w:after="60" w:before="20"/>
        <w:ind w:left="454"/>
      </w:pPr>
      <w:r>
        <w:rPr>
          <w:rFonts w:ascii="Calibri" w:hAnsi="Calibri"/>
          <w:sz w:val="21"/>
        </w:rPr>
        <w:t>After the freeze ends, you are fully eligible again</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The freeze is not a punishment. It is a circuit breaker. It prevents the pool from being drained by the same person multiple times without contributing. It is proportionate, time-limited, and always ends. It does not follow you into employment, housing, or any other area of your life.</w:t>
            </w:r>
          </w:p>
        </w:tc>
      </w:tr>
    </w:tbl>
    <w:p>
      <w:pPr>
        <w:spacing w:after="60"/>
      </w:pPr>
    </w:p>
    <w:p>
      <w:pPr>
        <w:spacing w:after="100" w:before="0"/>
        <w:jc w:val="left"/>
      </w:pPr>
      <w:r>
        <w:rPr>
          <w:rFonts w:ascii="Calibri" w:hAnsi="Calibri"/>
          <w:b w:val="0"/>
          <w:i/>
          <w:color w:val="335533"/>
          <w:sz w:val="21"/>
        </w:rPr>
        <w:t>For citizens facing genuine hardship (severe illness, disability, caring responsibilities), governments may introduce hardship exemptions — waiving the freeze in cases of demonstrable inability, not unwillingness, to repay.</w:t>
      </w:r>
    </w:p>
    <w:p>
      <w:r>
        <w:br w:type="page"/>
      </w:r>
    </w:p>
    <w:p>
      <w:pPr>
        <w:spacing w:before="200" w:after="100"/>
        <w:jc w:val="left"/>
      </w:pPr>
      <w:r>
        <w:rPr>
          <w:rFonts w:ascii="Calibri" w:hAnsi="Calibri"/>
          <w:b/>
          <w:color w:val="1A375E"/>
          <w:sz w:val="36"/>
        </w:rPr>
        <w:t>7.  How Does the Government Manage It?</w:t>
      </w:r>
    </w:p>
    <w:p>
      <w:pPr>
        <w:spacing w:before="80" w:after="80"/>
        <w:pBdr>
          <w:bottom w:val="single" w:sz="6" w:space="1" w:color="007A87"/>
        </w:pBdr>
      </w:pPr>
    </w:p>
    <w:p>
      <w:pPr>
        <w:spacing w:after="100" w:before="0"/>
        <w:jc w:val="left"/>
      </w:pPr>
      <w:r>
        <w:rPr>
          <w:rFonts w:ascii="Calibri" w:hAnsi="Calibri"/>
          <w:b w:val="0"/>
          <w:i w:val="0"/>
          <w:sz w:val="21"/>
        </w:rPr>
        <w:t>The Time Borrowing Instrument is governed by transparent, public rules. There are 11 policy levers the government can adjust to tune the system, and strict safeguards against political interference with the pool.</w:t>
      </w:r>
    </w:p>
    <w:p>
      <w:pPr>
        <w:spacing w:before="200" w:after="100"/>
        <w:jc w:val="left"/>
      </w:pPr>
      <w:r>
        <w:rPr>
          <w:rFonts w:ascii="Calibri" w:hAnsi="Calibri"/>
          <w:b/>
          <w:color w:val="007A87"/>
          <w:sz w:val="28"/>
        </w:rPr>
        <w:t>7.1  The 11 Policy Levers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Parameter</w:t>
            </w:r>
          </w:p>
        </w:tc>
        <w:tc>
          <w:tcPr>
            <w:tcW w:type="dxa" w:w="3022"/>
            <w:shd w:val="clear" w:color="auto" w:fill="1A375E"/>
          </w:tcPr>
          <w:p>
            <w:pPr>
              <w:jc w:val="center"/>
            </w:pPr>
            <w:r>
              <w:rPr>
                <w:rFonts w:ascii="Calibri" w:hAnsi="Calibri"/>
                <w:b/>
                <w:color w:val="FFFFFF"/>
                <w:sz w:val="19"/>
              </w:rPr>
              <w:t>Default Setting</w:t>
            </w:r>
          </w:p>
        </w:tc>
        <w:tc>
          <w:tcPr>
            <w:tcW w:type="dxa" w:w="3022"/>
            <w:shd w:val="clear" w:color="auto" w:fill="1A375E"/>
          </w:tcPr>
          <w:p>
            <w:pPr>
              <w:jc w:val="center"/>
            </w:pPr>
            <w:r>
              <w:rPr>
                <w:rFonts w:ascii="Calibri" w:hAnsi="Calibri"/>
                <w:b/>
                <w:color w:val="FFFFFF"/>
                <w:sz w:val="19"/>
              </w:rPr>
              <w:t>What Changing It Does</w:t>
            </w:r>
          </w:p>
        </w:tc>
      </w:tr>
      <w:tr>
        <w:tc>
          <w:tcPr>
            <w:tcW w:type="dxa" w:w="3022"/>
          </w:tcPr>
          <w:p>
            <w:pPr>
              <w:jc w:val="left"/>
            </w:pPr>
            <w:r>
              <w:rPr>
                <w:rFonts w:ascii="Calibri" w:hAnsi="Calibri"/>
                <w:sz w:val="19"/>
              </w:rPr>
              <w:t>Automation tax rate</w:t>
            </w:r>
          </w:p>
        </w:tc>
        <w:tc>
          <w:tcPr>
            <w:tcW w:type="dxa" w:w="3022"/>
          </w:tcPr>
          <w:p>
            <w:pPr>
              <w:jc w:val="center"/>
            </w:pPr>
            <w:r>
              <w:rPr>
                <w:rFonts w:ascii="Calibri" w:hAnsi="Calibri"/>
                <w:sz w:val="19"/>
              </w:rPr>
              <w:t>15%</w:t>
            </w:r>
          </w:p>
        </w:tc>
        <w:tc>
          <w:tcPr>
            <w:tcW w:type="dxa" w:w="3022"/>
          </w:tcPr>
          <w:p>
            <w:pPr>
              <w:jc w:val="center"/>
            </w:pPr>
            <w:r>
              <w:rPr>
                <w:rFonts w:ascii="Calibri" w:hAnsi="Calibri"/>
                <w:sz w:val="19"/>
              </w:rPr>
              <w:t>Higher rate = bigger pool = more advances available</w:t>
            </w:r>
          </w:p>
        </w:tc>
      </w:tr>
      <w:tr>
        <w:tc>
          <w:tcPr>
            <w:tcW w:type="dxa" w:w="3022"/>
            <w:shd w:val="clear" w:color="auto" w:fill="EEF3FA"/>
          </w:tcPr>
          <w:p>
            <w:pPr>
              <w:jc w:val="left"/>
            </w:pPr>
            <w:r>
              <w:rPr>
                <w:rFonts w:ascii="Calibri" w:hAnsi="Calibri"/>
                <w:sz w:val="19"/>
              </w:rPr>
              <w:t>Minimum advance</w:t>
            </w:r>
          </w:p>
        </w:tc>
        <w:tc>
          <w:tcPr>
            <w:tcW w:type="dxa" w:w="3022"/>
            <w:shd w:val="clear" w:color="auto" w:fill="EEF3FA"/>
          </w:tcPr>
          <w:p>
            <w:pPr>
              <w:jc w:val="center"/>
            </w:pPr>
            <w:r>
              <w:rPr>
                <w:rFonts w:ascii="Calibri" w:hAnsi="Calibri"/>
                <w:sz w:val="19"/>
              </w:rPr>
              <w:t>500 units</w:t>
            </w:r>
          </w:p>
        </w:tc>
        <w:tc>
          <w:tcPr>
            <w:tcW w:type="dxa" w:w="3022"/>
            <w:shd w:val="clear" w:color="auto" w:fill="EEF3FA"/>
          </w:tcPr>
          <w:p>
            <w:pPr>
              <w:jc w:val="center"/>
            </w:pPr>
            <w:r>
              <w:rPr>
                <w:rFonts w:ascii="Calibri" w:hAnsi="Calibri"/>
                <w:sz w:val="19"/>
              </w:rPr>
              <w:t>Lower = more accessible for small needs</w:t>
            </w:r>
          </w:p>
        </w:tc>
      </w:tr>
      <w:tr>
        <w:tc>
          <w:tcPr>
            <w:tcW w:type="dxa" w:w="3022"/>
          </w:tcPr>
          <w:p>
            <w:pPr>
              <w:jc w:val="left"/>
            </w:pPr>
            <w:r>
              <w:rPr>
                <w:rFonts w:ascii="Calibri" w:hAnsi="Calibri"/>
                <w:sz w:val="19"/>
              </w:rPr>
              <w:t>Maximum advance</w:t>
            </w:r>
          </w:p>
        </w:tc>
        <w:tc>
          <w:tcPr>
            <w:tcW w:type="dxa" w:w="3022"/>
          </w:tcPr>
          <w:p>
            <w:pPr>
              <w:jc w:val="center"/>
            </w:pPr>
            <w:r>
              <w:rPr>
                <w:rFonts w:ascii="Calibri" w:hAnsi="Calibri"/>
                <w:sz w:val="19"/>
              </w:rPr>
              <w:t>5,000 units</w:t>
            </w:r>
          </w:p>
        </w:tc>
        <w:tc>
          <w:tcPr>
            <w:tcW w:type="dxa" w:w="3022"/>
          </w:tcPr>
          <w:p>
            <w:pPr>
              <w:jc w:val="center"/>
            </w:pPr>
            <w:r>
              <w:rPr>
                <w:rFonts w:ascii="Calibri" w:hAnsi="Calibri"/>
                <w:sz w:val="19"/>
              </w:rPr>
              <w:t>Higher = bigger life investments enabled</w:t>
            </w:r>
          </w:p>
        </w:tc>
      </w:tr>
      <w:tr>
        <w:tc>
          <w:tcPr>
            <w:tcW w:type="dxa" w:w="3022"/>
            <w:shd w:val="clear" w:color="auto" w:fill="EEF3FA"/>
          </w:tcPr>
          <w:p>
            <w:pPr>
              <w:jc w:val="left"/>
            </w:pPr>
            <w:r>
              <w:rPr>
                <w:rFonts w:ascii="Calibri" w:hAnsi="Calibri"/>
                <w:sz w:val="19"/>
              </w:rPr>
              <w:t>Maximum repay window</w:t>
            </w:r>
          </w:p>
        </w:tc>
        <w:tc>
          <w:tcPr>
            <w:tcW w:type="dxa" w:w="3022"/>
            <w:shd w:val="clear" w:color="auto" w:fill="EEF3FA"/>
          </w:tcPr>
          <w:p>
            <w:pPr>
              <w:jc w:val="center"/>
            </w:pPr>
            <w:r>
              <w:rPr>
                <w:rFonts w:ascii="Calibri" w:hAnsi="Calibri"/>
                <w:sz w:val="19"/>
              </w:rPr>
              <w:t>5 years</w:t>
            </w:r>
          </w:p>
        </w:tc>
        <w:tc>
          <w:tcPr>
            <w:tcW w:type="dxa" w:w="3022"/>
            <w:shd w:val="clear" w:color="auto" w:fill="EEF3FA"/>
          </w:tcPr>
          <w:p>
            <w:pPr>
              <w:jc w:val="center"/>
            </w:pPr>
            <w:r>
              <w:rPr>
                <w:rFonts w:ascii="Calibri" w:hAnsi="Calibri"/>
                <w:sz w:val="19"/>
              </w:rPr>
              <w:t>Longer = lower annual repayments = more affordable</w:t>
            </w:r>
          </w:p>
        </w:tc>
      </w:tr>
      <w:tr>
        <w:tc>
          <w:tcPr>
            <w:tcW w:type="dxa" w:w="3022"/>
          </w:tcPr>
          <w:p>
            <w:pPr>
              <w:jc w:val="left"/>
            </w:pPr>
            <w:r>
              <w:rPr>
                <w:rFonts w:ascii="Calibri" w:hAnsi="Calibri"/>
                <w:sz w:val="19"/>
              </w:rPr>
              <w:t>Repayment threshold</w:t>
            </w:r>
          </w:p>
        </w:tc>
        <w:tc>
          <w:tcPr>
            <w:tcW w:type="dxa" w:w="3022"/>
          </w:tcPr>
          <w:p>
            <w:pPr>
              <w:jc w:val="center"/>
            </w:pPr>
            <w:r>
              <w:rPr>
                <w:rFonts w:ascii="Calibri" w:hAnsi="Calibri"/>
                <w:sz w:val="19"/>
              </w:rPr>
              <w:t>30%</w:t>
            </w:r>
          </w:p>
        </w:tc>
        <w:tc>
          <w:tcPr>
            <w:tcW w:type="dxa" w:w="3022"/>
          </w:tcPr>
          <w:p>
            <w:pPr>
              <w:jc w:val="center"/>
            </w:pPr>
            <w:r>
              <w:rPr>
                <w:rFonts w:ascii="Calibri" w:hAnsi="Calibri"/>
                <w:sz w:val="19"/>
              </w:rPr>
              <w:t>Higher = stricter freeze trigger = less risk to pool</w:t>
            </w:r>
          </w:p>
        </w:tc>
      </w:tr>
      <w:tr>
        <w:tc>
          <w:tcPr>
            <w:tcW w:type="dxa" w:w="3022"/>
            <w:shd w:val="clear" w:color="auto" w:fill="EEF3FA"/>
          </w:tcPr>
          <w:p>
            <w:pPr>
              <w:jc w:val="left"/>
            </w:pPr>
            <w:r>
              <w:rPr>
                <w:rFonts w:ascii="Calibri" w:hAnsi="Calibri"/>
                <w:sz w:val="19"/>
              </w:rPr>
              <w:t>Freeze base period</w:t>
            </w:r>
          </w:p>
        </w:tc>
        <w:tc>
          <w:tcPr>
            <w:tcW w:type="dxa" w:w="3022"/>
            <w:shd w:val="clear" w:color="auto" w:fill="EEF3FA"/>
          </w:tcPr>
          <w:p>
            <w:pPr>
              <w:jc w:val="center"/>
            </w:pPr>
            <w:r>
              <w:rPr>
                <w:rFonts w:ascii="Calibri" w:hAnsi="Calibri"/>
                <w:sz w:val="19"/>
              </w:rPr>
              <w:t>2 years</w:t>
            </w:r>
          </w:p>
        </w:tc>
        <w:tc>
          <w:tcPr>
            <w:tcW w:type="dxa" w:w="3022"/>
            <w:shd w:val="clear" w:color="auto" w:fill="EEF3FA"/>
          </w:tcPr>
          <w:p>
            <w:pPr>
              <w:jc w:val="center"/>
            </w:pPr>
            <w:r>
              <w:rPr>
                <w:rFonts w:ascii="Calibri" w:hAnsi="Calibri"/>
                <w:sz w:val="19"/>
              </w:rPr>
              <w:t>Longer = stronger deterrent for non-repayment</w:t>
            </w:r>
          </w:p>
        </w:tc>
      </w:tr>
      <w:tr>
        <w:tc>
          <w:tcPr>
            <w:tcW w:type="dxa" w:w="3022"/>
          </w:tcPr>
          <w:p>
            <w:pPr>
              <w:jc w:val="left"/>
            </w:pPr>
            <w:r>
              <w:rPr>
                <w:rFonts w:ascii="Calibri" w:hAnsi="Calibri"/>
                <w:sz w:val="19"/>
              </w:rPr>
              <w:t>Maximum freeze cap</w:t>
            </w:r>
          </w:p>
        </w:tc>
        <w:tc>
          <w:tcPr>
            <w:tcW w:type="dxa" w:w="3022"/>
          </w:tcPr>
          <w:p>
            <w:pPr>
              <w:jc w:val="center"/>
            </w:pPr>
            <w:r>
              <w:rPr>
                <w:rFonts w:ascii="Calibri" w:hAnsi="Calibri"/>
                <w:sz w:val="19"/>
              </w:rPr>
              <w:t>7 years</w:t>
            </w:r>
          </w:p>
        </w:tc>
        <w:tc>
          <w:tcPr>
            <w:tcW w:type="dxa" w:w="3022"/>
          </w:tcPr>
          <w:p>
            <w:pPr>
              <w:jc w:val="center"/>
            </w:pPr>
            <w:r>
              <w:rPr>
                <w:rFonts w:ascii="Calibri" w:hAnsi="Calibri"/>
                <w:sz w:val="19"/>
              </w:rPr>
              <w:t>Higher = harder deterrent for repeat defaults</w:t>
            </w:r>
          </w:p>
        </w:tc>
      </w:tr>
      <w:tr>
        <w:tc>
          <w:tcPr>
            <w:tcW w:type="dxa" w:w="3022"/>
            <w:shd w:val="clear" w:color="auto" w:fill="EEF3FA"/>
          </w:tcPr>
          <w:p>
            <w:pPr>
              <w:jc w:val="left"/>
            </w:pPr>
            <w:r>
              <w:rPr>
                <w:rFonts w:ascii="Calibri" w:hAnsi="Calibri"/>
                <w:sz w:val="19"/>
              </w:rPr>
              <w:t>Pool reserve floor</w:t>
            </w:r>
          </w:p>
        </w:tc>
        <w:tc>
          <w:tcPr>
            <w:tcW w:type="dxa" w:w="3022"/>
            <w:shd w:val="clear" w:color="auto" w:fill="EEF3FA"/>
          </w:tcPr>
          <w:p>
            <w:pPr>
              <w:jc w:val="center"/>
            </w:pPr>
            <w:r>
              <w:rPr>
                <w:rFonts w:ascii="Calibri" w:hAnsi="Calibri"/>
                <w:sz w:val="19"/>
              </w:rPr>
              <w:t>20%</w:t>
            </w:r>
          </w:p>
        </w:tc>
        <w:tc>
          <w:tcPr>
            <w:tcW w:type="dxa" w:w="3022"/>
            <w:shd w:val="clear" w:color="auto" w:fill="EEF3FA"/>
          </w:tcPr>
          <w:p>
            <w:pPr>
              <w:jc w:val="center"/>
            </w:pPr>
            <w:r>
              <w:rPr>
                <w:rFonts w:ascii="Calibri" w:hAnsi="Calibri"/>
                <w:sz w:val="19"/>
              </w:rPr>
              <w:t>Higher = more safety buffer in downturns</w:t>
            </w:r>
          </w:p>
        </w:tc>
      </w:tr>
      <w:tr>
        <w:tc>
          <w:tcPr>
            <w:tcW w:type="dxa" w:w="3022"/>
          </w:tcPr>
          <w:p>
            <w:pPr>
              <w:jc w:val="left"/>
            </w:pPr>
            <w:r>
              <w:rPr>
                <w:rFonts w:ascii="Calibri" w:hAnsi="Calibri"/>
                <w:sz w:val="19"/>
              </w:rPr>
              <w:t>Inflation target</w:t>
            </w:r>
          </w:p>
        </w:tc>
        <w:tc>
          <w:tcPr>
            <w:tcW w:type="dxa" w:w="3022"/>
          </w:tcPr>
          <w:p>
            <w:pPr>
              <w:jc w:val="center"/>
            </w:pPr>
            <w:r>
              <w:rPr>
                <w:rFonts w:ascii="Calibri" w:hAnsi="Calibri"/>
                <w:sz w:val="19"/>
              </w:rPr>
              <w:t>2%</w:t>
            </w:r>
          </w:p>
        </w:tc>
        <w:tc>
          <w:tcPr>
            <w:tcW w:type="dxa" w:w="3022"/>
          </w:tcPr>
          <w:p>
            <w:pPr>
              <w:jc w:val="center"/>
            </w:pPr>
            <w:r>
              <w:rPr>
                <w:rFonts w:ascii="Calibri" w:hAnsi="Calibri"/>
                <w:sz w:val="19"/>
              </w:rPr>
              <w:t>Affects how the central bank responds alongside TB</w:t>
            </w:r>
          </w:p>
        </w:tc>
      </w:tr>
      <w:tr>
        <w:tc>
          <w:tcPr>
            <w:tcW w:type="dxa" w:w="3022"/>
            <w:shd w:val="clear" w:color="auto" w:fill="EEF3FA"/>
          </w:tcPr>
          <w:p>
            <w:pPr>
              <w:jc w:val="left"/>
            </w:pPr>
            <w:r>
              <w:rPr>
                <w:rFonts w:ascii="Calibri" w:hAnsi="Calibri"/>
                <w:sz w:val="19"/>
              </w:rPr>
              <w:t>Government seed capital</w:t>
            </w:r>
          </w:p>
        </w:tc>
        <w:tc>
          <w:tcPr>
            <w:tcW w:type="dxa" w:w="3022"/>
            <w:shd w:val="clear" w:color="auto" w:fill="EEF3FA"/>
          </w:tcPr>
          <w:p>
            <w:pPr>
              <w:jc w:val="center"/>
            </w:pPr>
            <w:r>
              <w:rPr>
                <w:rFonts w:ascii="Calibri" w:hAnsi="Calibri"/>
                <w:sz w:val="19"/>
              </w:rPr>
              <w:t>2× yr-1 tax</w:t>
            </w:r>
          </w:p>
        </w:tc>
        <w:tc>
          <w:tcPr>
            <w:tcW w:type="dxa" w:w="3022"/>
            <w:shd w:val="clear" w:color="auto" w:fill="EEF3FA"/>
          </w:tcPr>
          <w:p>
            <w:pPr>
              <w:jc w:val="center"/>
            </w:pPr>
            <w:r>
              <w:rPr>
                <w:rFonts w:ascii="Calibri" w:hAnsi="Calibri"/>
                <w:sz w:val="19"/>
              </w:rPr>
              <w:t>Higher = faster pool build-up in launch phase</w:t>
            </w:r>
          </w:p>
        </w:tc>
      </w:tr>
      <w:tr>
        <w:tc>
          <w:tcPr>
            <w:tcW w:type="dxa" w:w="3022"/>
          </w:tcPr>
          <w:p>
            <w:pPr>
              <w:jc w:val="left"/>
            </w:pPr>
            <w:r>
              <w:rPr>
                <w:rFonts w:ascii="Calibri" w:hAnsi="Calibri"/>
                <w:sz w:val="19"/>
              </w:rPr>
              <w:t>Education accreditation</w:t>
            </w:r>
          </w:p>
        </w:tc>
        <w:tc>
          <w:tcPr>
            <w:tcW w:type="dxa" w:w="3022"/>
          </w:tcPr>
          <w:p>
            <w:pPr>
              <w:jc w:val="center"/>
            </w:pPr>
            <w:r>
              <w:rPr>
                <w:rFonts w:ascii="Calibri" w:hAnsi="Calibri"/>
                <w:sz w:val="19"/>
              </w:rPr>
              <w:t>Optional</w:t>
            </w:r>
          </w:p>
        </w:tc>
        <w:tc>
          <w:tcPr>
            <w:tcW w:type="dxa" w:w="3022"/>
          </w:tcPr>
          <w:p>
            <w:pPr>
              <w:jc w:val="center"/>
            </w:pPr>
            <w:r>
              <w:rPr>
                <w:rFonts w:ascii="Calibri" w:hAnsi="Calibri"/>
                <w:sz w:val="19"/>
              </w:rPr>
              <w:t>Government can restrict to certified education providers</w:t>
            </w:r>
          </w:p>
        </w:tc>
      </w:tr>
    </w:tbl>
    <w:p>
      <w:pPr>
        <w:spacing w:after="60"/>
      </w:pPr>
    </w:p>
    <w:p>
      <w:pPr>
        <w:spacing w:before="200" w:after="100"/>
        <w:jc w:val="left"/>
      </w:pPr>
      <w:r>
        <w:rPr>
          <w:rFonts w:ascii="Calibri" w:hAnsi="Calibri"/>
          <w:b/>
          <w:color w:val="007A87"/>
          <w:sz w:val="28"/>
        </w:rPr>
        <w:t>7.2  Transparency and Oversight</w:t>
      </w:r>
    </w:p>
    <w:p>
      <w:pPr>
        <w:spacing w:after="100" w:before="0"/>
        <w:jc w:val="left"/>
      </w:pPr>
      <w:r>
        <w:rPr>
          <w:rFonts w:ascii="Calibri" w:hAnsi="Calibri"/>
          <w:b w:val="0"/>
          <w:i w:val="0"/>
          <w:sz w:val="21"/>
        </w:rPr>
        <w:t>The TB pool is completely separate from the general government budget.</w:t>
      </w:r>
    </w:p>
    <w:p>
      <w:pPr>
        <w:pStyle w:val="ListBullet"/>
        <w:spacing w:after="60" w:before="20"/>
        <w:ind w:left="454"/>
      </w:pPr>
      <w:r>
        <w:rPr>
          <w:rFonts w:ascii="Calibri" w:hAnsi="Calibri"/>
          <w:sz w:val="21"/>
        </w:rPr>
        <w:t>Quarterly public reports: pool size, advances issued, repayment rates, default rates</w:t>
      </w:r>
    </w:p>
    <w:p>
      <w:pPr>
        <w:pStyle w:val="ListBullet"/>
        <w:spacing w:after="60" w:before="20"/>
        <w:ind w:left="454"/>
      </w:pPr>
      <w:r>
        <w:rPr>
          <w:rFonts w:ascii="Calibri" w:hAnsi="Calibri"/>
          <w:sz w:val="21"/>
        </w:rPr>
        <w:t>Annual independent audit of pool solvency and TDRW accuracy</w:t>
      </w:r>
    </w:p>
    <w:p>
      <w:pPr>
        <w:pStyle w:val="ListBullet"/>
        <w:spacing w:after="60" w:before="20"/>
        <w:ind w:left="454"/>
      </w:pPr>
      <w:r>
        <w:rPr>
          <w:rFonts w:ascii="Calibri" w:hAnsi="Calibri"/>
          <w:sz w:val="21"/>
        </w:rPr>
        <w:t>All algorithm parameters published as law — cannot be changed without parliamentary vote</w:t>
      </w:r>
    </w:p>
    <w:p>
      <w:pPr>
        <w:pStyle w:val="ListBullet"/>
        <w:spacing w:after="60" w:before="20"/>
        <w:ind w:left="454"/>
      </w:pPr>
      <w:r>
        <w:rPr>
          <w:rFonts w:ascii="Calibri" w:hAnsi="Calibri"/>
          <w:sz w:val="21"/>
        </w:rPr>
        <w:t>No political official has discretion over individual applications — the system is algorithmic</w:t>
      </w:r>
    </w:p>
    <w:p>
      <w:pPr>
        <w:pStyle w:val="ListBullet"/>
        <w:spacing w:after="60" w:before="20"/>
        <w:ind w:left="454"/>
      </w:pPr>
      <w:r>
        <w:rPr>
          <w:rFonts w:ascii="Calibri" w:hAnsi="Calibri"/>
          <w:sz w:val="21"/>
        </w:rPr>
        <w:t>Citizens can appeal freeze decisions through an independent tribunal</w:t>
      </w:r>
    </w:p>
    <w:p>
      <w:r>
        <w:br w:type="page"/>
      </w:r>
    </w:p>
    <w:p>
      <w:pPr>
        <w:spacing w:before="200" w:after="100"/>
        <w:jc w:val="left"/>
      </w:pPr>
      <w:r>
        <w:rPr>
          <w:rFonts w:ascii="Calibri" w:hAnsi="Calibri"/>
          <w:b/>
          <w:color w:val="1A375E"/>
          <w:sz w:val="36"/>
        </w:rPr>
        <w:t>8.  Real-Life Examples</w:t>
      </w:r>
    </w:p>
    <w:p>
      <w:pPr>
        <w:spacing w:before="80" w:after="80"/>
        <w:pBdr>
          <w:bottom w:val="single" w:sz="6" w:space="1" w:color="007A87"/>
        </w:pBdr>
      </w:pPr>
    </w:p>
    <w:p>
      <w:pPr>
        <w:spacing w:before="200" w:after="60"/>
        <w:jc w:val="left"/>
      </w:pPr>
      <w:r>
        <w:rPr>
          <w:rFonts w:ascii="Calibri" w:hAnsi="Calibri"/>
          <w:b/>
          <w:color w:val="007A87"/>
          <w:sz w:val="24"/>
        </w:rPr>
        <w:t>Maria, 28 — Factory Worker Made Redundant</w:t>
      </w:r>
    </w:p>
    <w:p>
      <w:pPr>
        <w:spacing w:after="120" w:before="0"/>
        <w:jc w:val="left"/>
      </w:pPr>
      <w:r>
        <w:rPr>
          <w:rFonts w:ascii="Calibri" w:hAnsi="Calibri"/>
          <w:b w:val="0"/>
          <w:i w:val="0"/>
          <w:sz w:val="21"/>
        </w:rPr>
        <w:t>Maria worked at a car manufacturing plant. Her job was automated by robotic assembly systems. She applies for a Time Borrowing advance of 4,500 units to fund a 2-year software development bootcamp. She completes the course, gets a job paying 40% more than her old one, and repays 900 units/year over 5 years. The pool is refilled. She suffered no debt spiral, no welfare dependency, and no freeze.</w:t>
      </w:r>
    </w:p>
    <w:p>
      <w:pPr>
        <w:spacing w:before="200" w:after="60"/>
        <w:jc w:val="left"/>
      </w:pPr>
      <w:r>
        <w:rPr>
          <w:rFonts w:ascii="Calibri" w:hAnsi="Calibri"/>
          <w:b/>
          <w:color w:val="007A87"/>
          <w:sz w:val="24"/>
        </w:rPr>
        <w:t>Ahmed, 22 — NEET Graduate Without Family Support</w:t>
      </w:r>
    </w:p>
    <w:p>
      <w:pPr>
        <w:spacing w:after="120" w:before="0"/>
        <w:jc w:val="left"/>
      </w:pPr>
      <w:r>
        <w:rPr>
          <w:rFonts w:ascii="Calibri" w:hAnsi="Calibri"/>
          <w:b w:val="0"/>
          <w:i w:val="0"/>
          <w:sz w:val="21"/>
        </w:rPr>
        <w:t>Ahmed finished secondary school but his family cannot fund university. With no collateral, no bank will give him a student loan. He applies for a TB advance of 5,000 units to cover 2 years of a computer science degree. He completes the degree, earns a graduate salary, and repays over 5 years at 1,000 units/yr. He paid ZERO interest on the 5,000 units. His entire career was unlocked by Time Borrowing.</w:t>
      </w:r>
    </w:p>
    <w:p>
      <w:pPr>
        <w:spacing w:before="200" w:after="60"/>
        <w:jc w:val="left"/>
      </w:pPr>
      <w:r>
        <w:rPr>
          <w:rFonts w:ascii="Calibri" w:hAnsi="Calibri"/>
          <w:b/>
          <w:color w:val="007A87"/>
          <w:sz w:val="24"/>
        </w:rPr>
        <w:t>Sofia, 42 — Single Parent Returning to Work</w:t>
      </w:r>
    </w:p>
    <w:p>
      <w:pPr>
        <w:spacing w:after="120" w:before="0"/>
        <w:jc w:val="left"/>
      </w:pPr>
      <w:r>
        <w:rPr>
          <w:rFonts w:ascii="Calibri" w:hAnsi="Calibri"/>
          <w:b w:val="0"/>
          <w:i w:val="0"/>
          <w:sz w:val="21"/>
        </w:rPr>
        <w:t>Sofia left the workforce to care for her children. She wants to return but needs 6 months of childcare costs to bridge the transition. She borrows 1,500 units over 2 years. She returns to work, earns more than the repayment cost per year, and completes repayment with a year to spare. No freeze. No penalty.</w:t>
      </w:r>
    </w:p>
    <w:p>
      <w:pPr>
        <w:spacing w:before="200" w:after="60"/>
        <w:jc w:val="left"/>
      </w:pPr>
      <w:r>
        <w:rPr>
          <w:rFonts w:ascii="Calibri" w:hAnsi="Calibri"/>
          <w:b/>
          <w:color w:val="007A87"/>
          <w:sz w:val="24"/>
        </w:rPr>
        <w:t>Kwame, 35 — Aspiring Entrepreneur</w:t>
      </w:r>
    </w:p>
    <w:p>
      <w:pPr>
        <w:spacing w:after="120" w:before="0"/>
        <w:jc w:val="left"/>
      </w:pPr>
      <w:r>
        <w:rPr>
          <w:rFonts w:ascii="Calibri" w:hAnsi="Calibri"/>
          <w:b w:val="0"/>
          <w:i w:val="0"/>
          <w:sz w:val="21"/>
        </w:rPr>
        <w:t>Kwame has a business idea but no collateral for a bank loan. He borrows 5,000 units, uses it as startup capital, builds a small e-commerce business. By year 3 his business is profitable. He repays the advance in full by year 3 and immediately applies for another cycle to expand. The pool grows because he repaid early.</w:t>
      </w:r>
    </w:p>
    <w:p>
      <w:pPr>
        <w:spacing w:before="200" w:after="60"/>
        <w:jc w:val="left"/>
      </w:pPr>
      <w:r>
        <w:rPr>
          <w:rFonts w:ascii="Calibri" w:hAnsi="Calibri"/>
          <w:b/>
          <w:color w:val="007A87"/>
          <w:sz w:val="24"/>
        </w:rPr>
        <w:t>Elena, 67 — Early Retiree Re-Skilling</w:t>
      </w:r>
    </w:p>
    <w:p>
      <w:pPr>
        <w:spacing w:after="120" w:before="0"/>
        <w:jc w:val="left"/>
      </w:pPr>
      <w:r>
        <w:rPr>
          <w:rFonts w:ascii="Calibri" w:hAnsi="Calibri"/>
          <w:b w:val="0"/>
          <w:i w:val="0"/>
          <w:sz w:val="21"/>
        </w:rPr>
        <w:t>Elena retired at 62 but wants to return to part-time consultancy work. She needs to learn new digital tools. She borrows 800 units for a 1-year digital skills programme. She completes it, earns consulting fees, and repays easily. At 67 she is an active economic contributor — not a welfare recipient.</w:t>
      </w:r>
    </w:p>
    <w:p>
      <w:r>
        <w:br w:type="page"/>
      </w:r>
    </w:p>
    <w:p>
      <w:pPr>
        <w:spacing w:before="200" w:after="100"/>
        <w:jc w:val="left"/>
      </w:pPr>
      <w:r>
        <w:rPr>
          <w:rFonts w:ascii="Calibri" w:hAnsi="Calibri"/>
          <w:b/>
          <w:color w:val="1A375E"/>
          <w:sz w:val="36"/>
        </w:rPr>
        <w:t>9.  Frequently Asked Questions</w:t>
      </w:r>
    </w:p>
    <w:p>
      <w:pPr>
        <w:spacing w:before="80" w:after="80"/>
        <w:pBdr>
          <w:bottom w:val="single" w:sz="6" w:space="1" w:color="007A87"/>
        </w:pBdr>
      </w:pPr>
    </w:p>
    <w:p>
      <w:pPr>
        <w:spacing w:before="160" w:after="40"/>
        <w:jc w:val="left"/>
      </w:pPr>
      <w:r>
        <w:rPr>
          <w:rFonts w:ascii="Calibri" w:hAnsi="Calibri"/>
          <w:b/>
          <w:color w:val="1A375E"/>
          <w:sz w:val="22"/>
        </w:rPr>
        <w:t>Is this free money?</w:t>
      </w:r>
    </w:p>
    <w:p>
      <w:pPr>
        <w:spacing w:after="80" w:before="0"/>
        <w:jc w:val="left"/>
      </w:pPr>
      <w:r>
        <w:rPr>
          <w:rFonts w:ascii="Calibri" w:hAnsi="Calibri"/>
          <w:b w:val="0"/>
          <w:i w:val="0"/>
          <w:sz w:val="21"/>
        </w:rPr>
        <w:t>No. It is a repayable advance. You pay back exactly what you borrowed. The 0% interest means you pay no extra — but the principal must be returned.</w:t>
      </w:r>
    </w:p>
    <w:p>
      <w:pPr>
        <w:spacing w:before="160" w:after="40"/>
        <w:jc w:val="left"/>
      </w:pPr>
      <w:r>
        <w:rPr>
          <w:rFonts w:ascii="Calibri" w:hAnsi="Calibri"/>
          <w:b/>
          <w:color w:val="1A375E"/>
          <w:sz w:val="22"/>
        </w:rPr>
        <w:t>Will this cause inflation?</w:t>
      </w:r>
    </w:p>
    <w:p>
      <w:pPr>
        <w:spacing w:after="80" w:before="0"/>
        <w:jc w:val="left"/>
      </w:pPr>
      <w:r>
        <w:rPr>
          <w:rFonts w:ascii="Calibri" w:hAnsi="Calibri"/>
          <w:b w:val="0"/>
          <w:i w:val="0"/>
          <w:sz w:val="21"/>
        </w:rPr>
        <w:t>No — and this is the critical design feature. The money advanced is directly proportional to real automation output. It is productivity-backed, not fiat-printed. The simulation showed LOWER inflation under TB than in the baseline economy.</w:t>
      </w:r>
    </w:p>
    <w:p>
      <w:pPr>
        <w:spacing w:before="160" w:after="40"/>
        <w:jc w:val="left"/>
      </w:pPr>
      <w:r>
        <w:rPr>
          <w:rFonts w:ascii="Calibri" w:hAnsi="Calibri"/>
          <w:b/>
          <w:color w:val="1A375E"/>
          <w:sz w:val="22"/>
        </w:rPr>
        <w:t>What if the pool runs out?</w:t>
      </w:r>
    </w:p>
    <w:p>
      <w:pPr>
        <w:spacing w:after="80" w:before="0"/>
        <w:jc w:val="left"/>
      </w:pPr>
      <w:r>
        <w:rPr>
          <w:rFonts w:ascii="Calibri" w:hAnsi="Calibri"/>
          <w:b w:val="0"/>
          <w:i w:val="0"/>
          <w:sz w:val="21"/>
        </w:rPr>
        <w:t>The pool cannot be depleted below its 20% reserve floor. If the pool is low, advance amounts are automatically reduced to protect sustainability. The automation tax refills it continuously.</w:t>
      </w:r>
    </w:p>
    <w:p>
      <w:pPr>
        <w:spacing w:before="160" w:after="40"/>
        <w:jc w:val="left"/>
      </w:pPr>
      <w:r>
        <w:rPr>
          <w:rFonts w:ascii="Calibri" w:hAnsi="Calibri"/>
          <w:b/>
          <w:color w:val="1A375E"/>
          <w:sz w:val="22"/>
        </w:rPr>
        <w:t>Can the government change the rules?</w:t>
      </w:r>
    </w:p>
    <w:p>
      <w:pPr>
        <w:spacing w:after="80" w:before="0"/>
        <w:jc w:val="left"/>
      </w:pPr>
      <w:r>
        <w:rPr>
          <w:rFonts w:ascii="Calibri" w:hAnsi="Calibri"/>
          <w:b w:val="0"/>
          <w:i w:val="0"/>
          <w:sz w:val="21"/>
        </w:rPr>
        <w:t>Only through parliamentary legislation. The algorithm is public law, not a ministerial decision. Parameter changes require a vote.</w:t>
      </w:r>
    </w:p>
    <w:p>
      <w:pPr>
        <w:spacing w:before="160" w:after="40"/>
        <w:jc w:val="left"/>
      </w:pPr>
      <w:r>
        <w:rPr>
          <w:rFonts w:ascii="Calibri" w:hAnsi="Calibri"/>
          <w:b/>
          <w:color w:val="1A375E"/>
          <w:sz w:val="22"/>
        </w:rPr>
        <w:t>Is my data private?</w:t>
      </w:r>
    </w:p>
    <w:p>
      <w:pPr>
        <w:spacing w:after="80" w:before="0"/>
        <w:jc w:val="left"/>
      </w:pPr>
      <w:r>
        <w:rPr>
          <w:rFonts w:ascii="Calibri" w:hAnsi="Calibri"/>
          <w:b w:val="0"/>
          <w:i w:val="0"/>
          <w:sz w:val="21"/>
        </w:rPr>
        <w:t>Your TB account record — advance amount, repayment status, freeze status — is held in a sovereign digital registry. It is NOT shared with banks, employers, or credit bureaus. The freeze only affects your ability to request a NEW TB advance.</w:t>
      </w:r>
    </w:p>
    <w:p>
      <w:pPr>
        <w:spacing w:before="160" w:after="40"/>
        <w:jc w:val="left"/>
      </w:pPr>
      <w:r>
        <w:rPr>
          <w:rFonts w:ascii="Calibri" w:hAnsi="Calibri"/>
          <w:b/>
          <w:color w:val="1A375E"/>
          <w:sz w:val="22"/>
        </w:rPr>
        <w:t>Can I have multiple advances at once?</w:t>
      </w:r>
    </w:p>
    <w:p>
      <w:pPr>
        <w:spacing w:after="80" w:before="0"/>
        <w:jc w:val="left"/>
      </w:pPr>
      <w:r>
        <w:rPr>
          <w:rFonts w:ascii="Calibri" w:hAnsi="Calibri"/>
          <w:b w:val="0"/>
          <w:i w:val="0"/>
          <w:sz w:val="21"/>
        </w:rPr>
        <w:t>No. You may only have one active TB advance at a time. Once repaid (or the window closes), you may apply again immediately.</w:t>
      </w:r>
    </w:p>
    <w:p>
      <w:pPr>
        <w:spacing w:before="160" w:after="40"/>
        <w:jc w:val="left"/>
      </w:pPr>
      <w:r>
        <w:rPr>
          <w:rFonts w:ascii="Calibri" w:hAnsi="Calibri"/>
          <w:b/>
          <w:color w:val="1A375E"/>
          <w:sz w:val="22"/>
        </w:rPr>
        <w:t>Does it replace welfare?</w:t>
      </w:r>
    </w:p>
    <w:p>
      <w:pPr>
        <w:spacing w:after="80" w:before="0"/>
        <w:jc w:val="left"/>
      </w:pPr>
      <w:r>
        <w:rPr>
          <w:rFonts w:ascii="Calibri" w:hAnsi="Calibri"/>
          <w:b w:val="0"/>
          <w:i w:val="0"/>
          <w:sz w:val="21"/>
        </w:rPr>
        <w:t>No. Existing welfare and pension systems remain completely unchanged. TB is an additional instrument on top of existing support.</w:t>
      </w:r>
    </w:p>
    <w:p>
      <w:pPr>
        <w:spacing w:before="160" w:after="40"/>
        <w:jc w:val="left"/>
      </w:pPr>
      <w:r>
        <w:rPr>
          <w:rFonts w:ascii="Calibri" w:hAnsi="Calibri"/>
          <w:b/>
          <w:color w:val="1A375E"/>
          <w:sz w:val="22"/>
        </w:rPr>
        <w:t>What if I am self-employed or have irregular income?</w:t>
      </w:r>
    </w:p>
    <w:p>
      <w:pPr>
        <w:spacing w:after="80" w:before="0"/>
        <w:jc w:val="left"/>
      </w:pPr>
      <w:r>
        <w:rPr>
          <w:rFonts w:ascii="Calibri" w:hAnsi="Calibri"/>
          <w:b w:val="0"/>
          <w:i w:val="0"/>
          <w:sz w:val="21"/>
        </w:rPr>
        <w:t>Repayments are annual, not monthly. You are free to make larger repayments in good years and smaller ones in slower years, as long as you meet the 30% threshold by the end of your window.</w:t>
      </w:r>
    </w:p>
    <w:p>
      <w:pPr>
        <w:spacing w:before="160" w:after="40"/>
        <w:jc w:val="left"/>
      </w:pPr>
      <w:r>
        <w:rPr>
          <w:rFonts w:ascii="Calibri" w:hAnsi="Calibri"/>
          <w:b/>
          <w:color w:val="1A375E"/>
          <w:sz w:val="22"/>
        </w:rPr>
        <w:t>What happens if I die before repaying?</w:t>
      </w:r>
    </w:p>
    <w:p>
      <w:pPr>
        <w:spacing w:after="80" w:before="0"/>
        <w:jc w:val="left"/>
      </w:pPr>
      <w:r>
        <w:rPr>
          <w:rFonts w:ascii="Calibri" w:hAnsi="Calibri"/>
          <w:b w:val="0"/>
          <w:i w:val="0"/>
          <w:sz w:val="21"/>
        </w:rPr>
        <w:t>The advance is written off. It does not pass to your estate or family. Time Borrowing is a personal commitment, not a financial liability.</w:t>
      </w:r>
    </w:p>
    <w:p>
      <w:r>
        <w:br w:type="page"/>
      </w:r>
    </w:p>
    <w:p>
      <w:pPr>
        <w:spacing w:before="200" w:after="160"/>
        <w:jc w:val="center"/>
      </w:pPr>
      <w:r>
        <w:rPr>
          <w:rFonts w:ascii="Calibri" w:hAnsi="Calibri"/>
          <w:b/>
          <w:color w:val="007A87"/>
          <w:sz w:val="28"/>
        </w:rPr>
        <w:t>Remember</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Time Borrowing does not see you as a burden. It sees your future contribution as collateral — something worth investing in now. The machines that are changing our economy are funding your potential. That is not charity. That is economics working for everyone.</w:t>
            </w:r>
          </w:p>
        </w:tc>
      </w:tr>
    </w:tbl>
    <w:p>
      <w:pPr>
        <w:spacing w:after="60"/>
      </w:pPr>
    </w:p>
    <w:p>
      <w:pPr>
        <w:jc w:val="center"/>
      </w:pPr>
      <w:r>
        <w:rPr>
          <w:rFonts w:ascii="Calibri" w:hAnsi="Calibri"/>
          <w:i/>
          <w:color w:val="778899"/>
          <w:sz w:val="18"/>
        </w:rPr>
        <w:t>Author: Enis Murseli  |  Time Borrowing Initiative  |  May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