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5B2D8E"/>
          </w:tcPr>
          <w:p>
            <w:r>
              <w:t xml:space="preserve"> </w:t>
            </w:r>
          </w:p>
        </w:tc>
      </w:tr>
    </w:tbl>
    <w:p/>
    <w:p>
      <w:pPr>
        <w:spacing w:before="360"/>
        <w:jc w:val="center"/>
      </w:pPr>
      <w:r>
        <w:rPr>
          <w:rFonts w:ascii="Calibri" w:hAnsi="Calibri"/>
          <w:b/>
          <w:color w:val="1A375E"/>
          <w:sz w:val="52"/>
        </w:rPr>
        <w:t>Time Borrowing and the</w:t>
        <w:br/>
        <w:t>Geopolitics of Automation</w:t>
      </w:r>
    </w:p>
    <w:p>
      <w:pPr>
        <w:spacing w:after="160" w:before="0"/>
      </w:pPr>
    </w:p>
    <w:p>
      <w:pPr>
        <w:jc w:val="center"/>
      </w:pPr>
      <w:r>
        <w:rPr>
          <w:rFonts w:ascii="Calibri" w:hAnsi="Calibri"/>
          <w:b/>
          <w:color w:val="5B2D8E"/>
          <w:sz w:val="26"/>
        </w:rPr>
        <w:t>What happens when one country implements it —</w:t>
        <w:br/>
        <w:t>and why the others will follow</w:t>
      </w:r>
    </w:p>
    <w:p>
      <w:pPr>
        <w:spacing w:after="20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Game theory shows that if even one major economy implements the Time Borrowing Instrument, it creates an irreversible competitive advantage in human capital, innovation, and social stability — forcing all rational actors to eventually follow. The question is not IF it spreads. The question is WHO implements it first.</w:t>
            </w:r>
          </w:p>
        </w:tc>
      </w:tr>
    </w:tbl>
    <w:p>
      <w:pPr>
        <w:spacing w:after="60"/>
      </w:pPr>
    </w:p>
    <w:p>
      <w:pPr>
        <w:spacing w:after="160" w:before="0"/>
      </w:pPr>
    </w:p>
    <w:p>
      <w:pPr>
        <w:jc w:val="center"/>
      </w:pPr>
      <w:r>
        <w:rPr>
          <w:rFonts w:ascii="Calibri" w:hAnsi="Calibri"/>
          <w:color w:val="778899"/>
          <w:sz w:val="20"/>
        </w:rPr>
        <w:t>Author: Enis Murseli  |  May 2026</w:t>
      </w:r>
    </w:p>
    <w:p>
      <w:r>
        <w:br w:type="page"/>
      </w:r>
    </w:p>
    <w:p>
      <w:pPr>
        <w:spacing w:before="200" w:after="100"/>
        <w:jc w:val="left"/>
      </w:pPr>
      <w:r>
        <w:rPr>
          <w:rFonts w:ascii="Calibri" w:hAnsi="Calibri"/>
          <w:b/>
          <w:color w:val="1A375E"/>
          <w:sz w:val="36"/>
        </w:rPr>
        <w:t>Executive Summary</w:t>
      </w:r>
    </w:p>
    <w:p>
      <w:pPr>
        <w:spacing w:before="80" w:after="80"/>
        <w:pBdr>
          <w:bottom w:val="single" w:sz="6" w:space="1" w:color="007A87"/>
        </w:pBdr>
      </w:pPr>
    </w:p>
    <w:p>
      <w:pPr>
        <w:spacing w:after="100" w:before="0"/>
        <w:jc w:val="left"/>
      </w:pPr>
      <w:r>
        <w:rPr>
          <w:rFonts w:ascii="Calibri" w:hAnsi="Calibri"/>
          <w:b w:val="0"/>
          <w:i w:val="0"/>
          <w:sz w:val="21"/>
        </w:rPr>
        <w:t>This document analyses the geopolitical implications of the Time Borrowing Instrument (TBI). Using game theory — the formal study of strategic interaction between rational decision-makers — we model what happens when countries face the choice of adopting or not adopting the TBI in a world where at least one country has already implemented it.</w:t>
      </w:r>
    </w:p>
    <w:p>
      <w:pPr>
        <w:spacing w:after="100" w:before="0"/>
        <w:jc w:val="left"/>
      </w:pPr>
      <w:r>
        <w:rPr>
          <w:rFonts w:ascii="Calibri" w:hAnsi="Calibri"/>
          <w:b w:val="0"/>
          <w:i w:val="0"/>
          <w:sz w:val="21"/>
        </w:rPr>
        <w:t>The central conclusion: the TBI creates a strategic dynamic analogous to the welfare state expansion of the 20th century, the minimum wage coordination problem, and the global minimum corporate tax adoption of the 2020s. Once a critical mass of countries adopt it, the equilibrium shifts — and the cost of NOT adopting becomes higher than the cost of adopting.</w:t>
      </w:r>
    </w:p>
    <w:p>
      <w:pPr>
        <w:spacing w:before="200" w:after="100"/>
        <w:jc w:val="left"/>
      </w:pPr>
      <w:r>
        <w:rPr>
          <w:rFonts w:ascii="Calibri" w:hAnsi="Calibri"/>
          <w:b/>
          <w:color w:val="007A87"/>
          <w:sz w:val="24"/>
        </w:rPr>
        <w:t>Key Geopolitical Findings:</w:t>
      </w:r>
    </w:p>
    <w:p>
      <w:pPr>
        <w:pStyle w:val="ListBullet"/>
        <w:spacing w:after="60" w:before="20"/>
        <w:ind w:left="454"/>
      </w:pPr>
      <w:r>
        <w:rPr>
          <w:rFonts w:ascii="Calibri" w:hAnsi="Calibri"/>
          <w:sz w:val="21"/>
        </w:rPr>
        <w:t>First-mover advantage is substantial: 59% GDP premium builds a compounding economic lead</w:t>
      </w:r>
    </w:p>
    <w:p>
      <w:pPr>
        <w:pStyle w:val="ListBullet"/>
        <w:spacing w:after="60" w:before="20"/>
        <w:ind w:left="454"/>
      </w:pPr>
      <w:r>
        <w:rPr>
          <w:rFonts w:ascii="Calibri" w:hAnsi="Calibri"/>
          <w:sz w:val="21"/>
        </w:rPr>
        <w:t>Brain drain accelerates: skilled workers migrate toward TB economies</w:t>
      </w:r>
    </w:p>
    <w:p>
      <w:pPr>
        <w:pStyle w:val="ListBullet"/>
        <w:spacing w:after="60" w:before="20"/>
        <w:ind w:left="454"/>
      </w:pPr>
      <w:r>
        <w:rPr>
          <w:rFonts w:ascii="Calibri" w:hAnsi="Calibri"/>
          <w:sz w:val="21"/>
        </w:rPr>
        <w:t>Technology companies face a dilemma: automation tax vs talent access — TB wins</w:t>
      </w:r>
    </w:p>
    <w:p>
      <w:pPr>
        <w:pStyle w:val="ListBullet"/>
        <w:spacing w:after="60" w:before="20"/>
        <w:ind w:left="454"/>
      </w:pPr>
      <w:r>
        <w:rPr>
          <w:rFonts w:ascii="Calibri" w:hAnsi="Calibri"/>
          <w:sz w:val="21"/>
        </w:rPr>
        <w:t>The Nash equilibrium of the adoption game is: ALL adopt (mutual adoption dominates)</w:t>
      </w:r>
    </w:p>
    <w:p>
      <w:pPr>
        <w:pStyle w:val="ListBullet"/>
        <w:spacing w:after="60" w:before="20"/>
        <w:ind w:left="454"/>
      </w:pPr>
      <w:r>
        <w:rPr>
          <w:rFonts w:ascii="Calibri" w:hAnsi="Calibri"/>
          <w:sz w:val="21"/>
        </w:rPr>
        <w:t>Non-adopters face growing structural disadvantage in innovation and social cohesion</w:t>
      </w:r>
    </w:p>
    <w:p>
      <w:pPr>
        <w:pStyle w:val="ListBullet"/>
        <w:spacing w:after="60" w:before="20"/>
        <w:ind w:left="454"/>
      </w:pPr>
      <w:r>
        <w:rPr>
          <w:rFonts w:ascii="Calibri" w:hAnsi="Calibri"/>
          <w:sz w:val="21"/>
        </w:rPr>
        <w:t>International coordination (OECD TB Treaty) is the stable long-run outcome</w:t>
      </w:r>
    </w:p>
    <w:p>
      <w:r>
        <w:br w:type="page"/>
      </w:r>
    </w:p>
    <w:p>
      <w:pPr>
        <w:spacing w:before="200" w:after="100"/>
        <w:jc w:val="left"/>
      </w:pPr>
      <w:r>
        <w:rPr>
          <w:rFonts w:ascii="Calibri" w:hAnsi="Calibri"/>
          <w:b/>
          <w:color w:val="1A375E"/>
          <w:sz w:val="36"/>
        </w:rPr>
        <w:t>1.  What Changes When One Country Implements TB?</w:t>
      </w:r>
    </w:p>
    <w:p>
      <w:pPr>
        <w:spacing w:before="80" w:after="80"/>
        <w:pBdr>
          <w:bottom w:val="single" w:sz="6" w:space="1" w:color="007A87"/>
        </w:pBdr>
      </w:pPr>
    </w:p>
    <w:p>
      <w:pPr>
        <w:spacing w:after="100" w:before="0"/>
        <w:jc w:val="left"/>
      </w:pPr>
      <w:r>
        <w:rPr>
          <w:rFonts w:ascii="Calibri" w:hAnsi="Calibri"/>
          <w:b w:val="0"/>
          <w:i w:val="0"/>
          <w:sz w:val="21"/>
        </w:rPr>
        <w:t>Assume Country A is the first to implement the Time Borrowing Instrument. What happens to Country A, and what signals does this send to Countries B, C, and D?</w:t>
      </w:r>
    </w:p>
    <w:p>
      <w:pPr>
        <w:spacing w:before="200" w:after="100"/>
        <w:jc w:val="left"/>
      </w:pPr>
      <w:r>
        <w:rPr>
          <w:rFonts w:ascii="Calibri" w:hAnsi="Calibri"/>
          <w:b/>
          <w:color w:val="007A87"/>
          <w:sz w:val="28"/>
        </w:rPr>
        <w:t>1.1  Direct Effects on Country A</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Domain</w:t>
            </w:r>
          </w:p>
        </w:tc>
        <w:tc>
          <w:tcPr>
            <w:tcW w:type="dxa" w:w="3022"/>
            <w:shd w:val="clear" w:color="auto" w:fill="1A375E"/>
          </w:tcPr>
          <w:p>
            <w:pPr>
              <w:jc w:val="center"/>
            </w:pPr>
            <w:r>
              <w:rPr>
                <w:rFonts w:ascii="Calibri" w:hAnsi="Calibri"/>
                <w:b/>
                <w:color w:val="FFFFFF"/>
                <w:sz w:val="19"/>
              </w:rPr>
              <w:t>Effect in Country A</w:t>
            </w:r>
          </w:p>
        </w:tc>
        <w:tc>
          <w:tcPr>
            <w:tcW w:type="dxa" w:w="3022"/>
            <w:shd w:val="clear" w:color="auto" w:fill="1A375E"/>
          </w:tcPr>
          <w:p>
            <w:pPr>
              <w:jc w:val="center"/>
            </w:pPr>
            <w:r>
              <w:rPr>
                <w:rFonts w:ascii="Calibri" w:hAnsi="Calibri"/>
                <w:b/>
                <w:color w:val="FFFFFF"/>
                <w:sz w:val="19"/>
              </w:rPr>
              <w:t>Timeframe</w:t>
            </w:r>
          </w:p>
        </w:tc>
      </w:tr>
      <w:tr>
        <w:tc>
          <w:tcPr>
            <w:tcW w:type="dxa" w:w="3022"/>
          </w:tcPr>
          <w:p>
            <w:pPr>
              <w:jc w:val="left"/>
            </w:pPr>
            <w:r>
              <w:rPr>
                <w:rFonts w:ascii="Calibri" w:hAnsi="Calibri"/>
                <w:sz w:val="19"/>
              </w:rPr>
              <w:t>GDP Growth</w:t>
            </w:r>
          </w:p>
        </w:tc>
        <w:tc>
          <w:tcPr>
            <w:tcW w:type="dxa" w:w="3022"/>
          </w:tcPr>
          <w:p>
            <w:pPr>
              <w:jc w:val="center"/>
            </w:pPr>
            <w:r>
              <w:rPr>
                <w:rFonts w:ascii="Calibri" w:hAnsi="Calibri"/>
                <w:sz w:val="19"/>
              </w:rPr>
              <w:t>GDP grows 59% more than baseline (simulation). CAGR rises from 3.87% to 5.86%/yr</w:t>
            </w:r>
          </w:p>
        </w:tc>
        <w:tc>
          <w:tcPr>
            <w:tcW w:type="dxa" w:w="3022"/>
          </w:tcPr>
          <w:p>
            <w:pPr>
              <w:jc w:val="center"/>
            </w:pPr>
            <w:r>
              <w:rPr>
                <w:rFonts w:ascii="Calibri" w:hAnsi="Calibri"/>
                <w:sz w:val="19"/>
              </w:rPr>
              <w:t>5–25 years</w:t>
            </w:r>
          </w:p>
        </w:tc>
      </w:tr>
      <w:tr>
        <w:tc>
          <w:tcPr>
            <w:tcW w:type="dxa" w:w="3022"/>
            <w:shd w:val="clear" w:color="auto" w:fill="EEF3FA"/>
          </w:tcPr>
          <w:p>
            <w:pPr>
              <w:jc w:val="left"/>
            </w:pPr>
            <w:r>
              <w:rPr>
                <w:rFonts w:ascii="Calibri" w:hAnsi="Calibri"/>
                <w:sz w:val="19"/>
              </w:rPr>
              <w:t>Human Capital</w:t>
            </w:r>
          </w:p>
        </w:tc>
        <w:tc>
          <w:tcPr>
            <w:tcW w:type="dxa" w:w="3022"/>
            <w:shd w:val="clear" w:color="auto" w:fill="EEF3FA"/>
          </w:tcPr>
          <w:p>
            <w:pPr>
              <w:jc w:val="center"/>
            </w:pPr>
            <w:r>
              <w:rPr>
                <w:rFonts w:ascii="Calibri" w:hAnsi="Calibri"/>
                <w:sz w:val="19"/>
              </w:rPr>
              <w:t>Education completion rises. FreeOne workers convert to productive Producers at scale</w:t>
            </w:r>
          </w:p>
        </w:tc>
        <w:tc>
          <w:tcPr>
            <w:tcW w:type="dxa" w:w="3022"/>
            <w:shd w:val="clear" w:color="auto" w:fill="EEF3FA"/>
          </w:tcPr>
          <w:p>
            <w:pPr>
              <w:jc w:val="center"/>
            </w:pPr>
            <w:r>
              <w:rPr>
                <w:rFonts w:ascii="Calibri" w:hAnsi="Calibri"/>
                <w:sz w:val="19"/>
              </w:rPr>
              <w:t>3–10 years</w:t>
            </w:r>
          </w:p>
        </w:tc>
      </w:tr>
      <w:tr>
        <w:tc>
          <w:tcPr>
            <w:tcW w:type="dxa" w:w="3022"/>
          </w:tcPr>
          <w:p>
            <w:pPr>
              <w:jc w:val="left"/>
            </w:pPr>
            <w:r>
              <w:rPr>
                <w:rFonts w:ascii="Calibri" w:hAnsi="Calibri"/>
                <w:sz w:val="19"/>
              </w:rPr>
              <w:t>Entrepreneurship</w:t>
            </w:r>
          </w:p>
        </w:tc>
        <w:tc>
          <w:tcPr>
            <w:tcW w:type="dxa" w:w="3022"/>
          </w:tcPr>
          <w:p>
            <w:pPr>
              <w:jc w:val="center"/>
            </w:pPr>
            <w:r>
              <w:rPr>
                <w:rFonts w:ascii="Calibri" w:hAnsi="Calibri"/>
                <w:sz w:val="19"/>
              </w:rPr>
              <w:t>TB-funded startups create new businesses, jobs, and tax base expansion</w:t>
            </w:r>
          </w:p>
        </w:tc>
        <w:tc>
          <w:tcPr>
            <w:tcW w:type="dxa" w:w="3022"/>
          </w:tcPr>
          <w:p>
            <w:pPr>
              <w:jc w:val="center"/>
            </w:pPr>
            <w:r>
              <w:rPr>
                <w:rFonts w:ascii="Calibri" w:hAnsi="Calibri"/>
                <w:sz w:val="19"/>
              </w:rPr>
              <w:t>2–8 years</w:t>
            </w:r>
          </w:p>
        </w:tc>
      </w:tr>
      <w:tr>
        <w:tc>
          <w:tcPr>
            <w:tcW w:type="dxa" w:w="3022"/>
            <w:shd w:val="clear" w:color="auto" w:fill="EEF3FA"/>
          </w:tcPr>
          <w:p>
            <w:pPr>
              <w:jc w:val="left"/>
            </w:pPr>
            <w:r>
              <w:rPr>
                <w:rFonts w:ascii="Calibri" w:hAnsi="Calibri"/>
                <w:sz w:val="19"/>
              </w:rPr>
              <w:t>Inequality</w:t>
            </w:r>
          </w:p>
        </w:tc>
        <w:tc>
          <w:tcPr>
            <w:tcW w:type="dxa" w:w="3022"/>
            <w:shd w:val="clear" w:color="auto" w:fill="EEF3FA"/>
          </w:tcPr>
          <w:p>
            <w:pPr>
              <w:jc w:val="center"/>
            </w:pPr>
            <w:r>
              <w:rPr>
                <w:rFonts w:ascii="Calibri" w:hAnsi="Calibri"/>
                <w:sz w:val="19"/>
              </w:rPr>
              <w:t>Gini falls 9.8%. Social mobility restored. Political stability improves</w:t>
            </w:r>
          </w:p>
        </w:tc>
        <w:tc>
          <w:tcPr>
            <w:tcW w:type="dxa" w:w="3022"/>
            <w:shd w:val="clear" w:color="auto" w:fill="EEF3FA"/>
          </w:tcPr>
          <w:p>
            <w:pPr>
              <w:jc w:val="center"/>
            </w:pPr>
            <w:r>
              <w:rPr>
                <w:rFonts w:ascii="Calibri" w:hAnsi="Calibri"/>
                <w:sz w:val="19"/>
              </w:rPr>
              <w:t>5–15 years</w:t>
            </w:r>
          </w:p>
        </w:tc>
      </w:tr>
      <w:tr>
        <w:tc>
          <w:tcPr>
            <w:tcW w:type="dxa" w:w="3022"/>
          </w:tcPr>
          <w:p>
            <w:pPr>
              <w:jc w:val="left"/>
            </w:pPr>
            <w:r>
              <w:rPr>
                <w:rFonts w:ascii="Calibri" w:hAnsi="Calibri"/>
                <w:sz w:val="19"/>
              </w:rPr>
              <w:t>Inflation</w:t>
            </w:r>
          </w:p>
        </w:tc>
        <w:tc>
          <w:tcPr>
            <w:tcW w:type="dxa" w:w="3022"/>
          </w:tcPr>
          <w:p>
            <w:pPr>
              <w:jc w:val="center"/>
            </w:pPr>
            <w:r>
              <w:rPr>
                <w:rFonts w:ascii="Calibri" w:hAnsi="Calibri"/>
                <w:sz w:val="19"/>
              </w:rPr>
              <w:t>LOWER than baseline — productivity-backed money creation</w:t>
            </w:r>
          </w:p>
        </w:tc>
        <w:tc>
          <w:tcPr>
            <w:tcW w:type="dxa" w:w="3022"/>
          </w:tcPr>
          <w:p>
            <w:pPr>
              <w:jc w:val="center"/>
            </w:pPr>
            <w:r>
              <w:rPr>
                <w:rFonts w:ascii="Calibri" w:hAnsi="Calibri"/>
                <w:sz w:val="19"/>
              </w:rPr>
              <w:t>1–5 years</w:t>
            </w:r>
          </w:p>
        </w:tc>
      </w:tr>
      <w:tr>
        <w:tc>
          <w:tcPr>
            <w:tcW w:type="dxa" w:w="3022"/>
            <w:shd w:val="clear" w:color="auto" w:fill="EEF3FA"/>
          </w:tcPr>
          <w:p>
            <w:pPr>
              <w:jc w:val="left"/>
            </w:pPr>
            <w:r>
              <w:rPr>
                <w:rFonts w:ascii="Calibri" w:hAnsi="Calibri"/>
                <w:sz w:val="19"/>
              </w:rPr>
              <w:t>Welfare Costs</w:t>
            </w:r>
          </w:p>
        </w:tc>
        <w:tc>
          <w:tcPr>
            <w:tcW w:type="dxa" w:w="3022"/>
            <w:shd w:val="clear" w:color="auto" w:fill="EEF3FA"/>
          </w:tcPr>
          <w:p>
            <w:pPr>
              <w:jc w:val="center"/>
            </w:pPr>
            <w:r>
              <w:rPr>
                <w:rFonts w:ascii="Calibri" w:hAnsi="Calibri"/>
                <w:sz w:val="19"/>
              </w:rPr>
              <w:t>Welfare as % of GDP stays stable. No fiscal expansion needed</w:t>
            </w:r>
          </w:p>
        </w:tc>
        <w:tc>
          <w:tcPr>
            <w:tcW w:type="dxa" w:w="3022"/>
            <w:shd w:val="clear" w:color="auto" w:fill="EEF3FA"/>
          </w:tcPr>
          <w:p>
            <w:pPr>
              <w:jc w:val="center"/>
            </w:pPr>
            <w:r>
              <w:rPr>
                <w:rFonts w:ascii="Calibri" w:hAnsi="Calibri"/>
                <w:sz w:val="19"/>
              </w:rPr>
              <w:t>Immediate</w:t>
            </w:r>
          </w:p>
        </w:tc>
      </w:tr>
      <w:tr>
        <w:tc>
          <w:tcPr>
            <w:tcW w:type="dxa" w:w="3022"/>
          </w:tcPr>
          <w:p>
            <w:pPr>
              <w:jc w:val="left"/>
            </w:pPr>
            <w:r>
              <w:rPr>
                <w:rFonts w:ascii="Calibri" w:hAnsi="Calibri"/>
                <w:sz w:val="19"/>
              </w:rPr>
              <w:t>Tax Revenue</w:t>
            </w:r>
          </w:p>
        </w:tc>
        <w:tc>
          <w:tcPr>
            <w:tcW w:type="dxa" w:w="3022"/>
          </w:tcPr>
          <w:p>
            <w:pPr>
              <w:jc w:val="center"/>
            </w:pPr>
            <w:r>
              <w:rPr>
                <w:rFonts w:ascii="Calibri" w:hAnsi="Calibri"/>
                <w:sz w:val="19"/>
              </w:rPr>
              <w:t>More producers, more businesses, more VAT → tax base grows naturally</w:t>
            </w:r>
          </w:p>
        </w:tc>
        <w:tc>
          <w:tcPr>
            <w:tcW w:type="dxa" w:w="3022"/>
          </w:tcPr>
          <w:p>
            <w:pPr>
              <w:jc w:val="center"/>
            </w:pPr>
            <w:r>
              <w:rPr>
                <w:rFonts w:ascii="Calibri" w:hAnsi="Calibri"/>
                <w:sz w:val="19"/>
              </w:rPr>
              <w:t>5–15 years</w:t>
            </w:r>
          </w:p>
        </w:tc>
      </w:tr>
      <w:tr>
        <w:tc>
          <w:tcPr>
            <w:tcW w:type="dxa" w:w="3022"/>
            <w:shd w:val="clear" w:color="auto" w:fill="EEF3FA"/>
          </w:tcPr>
          <w:p>
            <w:pPr>
              <w:jc w:val="left"/>
            </w:pPr>
            <w:r>
              <w:rPr>
                <w:rFonts w:ascii="Calibri" w:hAnsi="Calibri"/>
                <w:sz w:val="19"/>
              </w:rPr>
              <w:t>Government Debt</w:t>
            </w:r>
          </w:p>
        </w:tc>
        <w:tc>
          <w:tcPr>
            <w:tcW w:type="dxa" w:w="3022"/>
            <w:shd w:val="clear" w:color="auto" w:fill="EEF3FA"/>
          </w:tcPr>
          <w:p>
            <w:pPr>
              <w:jc w:val="center"/>
            </w:pPr>
            <w:r>
              <w:rPr>
                <w:rFonts w:ascii="Calibri" w:hAnsi="Calibri"/>
                <w:sz w:val="19"/>
              </w:rPr>
              <w:t>Cumulative debt trajectory improves as GDP grows faster than spending</w:t>
            </w:r>
          </w:p>
        </w:tc>
        <w:tc>
          <w:tcPr>
            <w:tcW w:type="dxa" w:w="3022"/>
            <w:shd w:val="clear" w:color="auto" w:fill="EEF3FA"/>
          </w:tcPr>
          <w:p>
            <w:pPr>
              <w:jc w:val="center"/>
            </w:pPr>
            <w:r>
              <w:rPr>
                <w:rFonts w:ascii="Calibri" w:hAnsi="Calibri"/>
                <w:sz w:val="19"/>
              </w:rPr>
              <w:t>10–25 years</w:t>
            </w:r>
          </w:p>
        </w:tc>
      </w:tr>
      <w:tr>
        <w:tc>
          <w:tcPr>
            <w:tcW w:type="dxa" w:w="3022"/>
          </w:tcPr>
          <w:p>
            <w:pPr>
              <w:jc w:val="left"/>
            </w:pPr>
            <w:r>
              <w:rPr>
                <w:rFonts w:ascii="Calibri" w:hAnsi="Calibri"/>
                <w:sz w:val="19"/>
              </w:rPr>
              <w:t>Social Cohesion</w:t>
            </w:r>
          </w:p>
        </w:tc>
        <w:tc>
          <w:tcPr>
            <w:tcW w:type="dxa" w:w="3022"/>
          </w:tcPr>
          <w:p>
            <w:pPr>
              <w:jc w:val="center"/>
            </w:pPr>
            <w:r>
              <w:rPr>
                <w:rFonts w:ascii="Calibri" w:hAnsi="Calibri"/>
                <w:sz w:val="19"/>
              </w:rPr>
              <w:t>Citizens feel agency and ownership — not passive recipients. Fewer protests</w:t>
            </w:r>
          </w:p>
        </w:tc>
        <w:tc>
          <w:tcPr>
            <w:tcW w:type="dxa" w:w="3022"/>
          </w:tcPr>
          <w:p>
            <w:pPr>
              <w:jc w:val="center"/>
            </w:pPr>
            <w:r>
              <w:rPr>
                <w:rFonts w:ascii="Calibri" w:hAnsi="Calibri"/>
                <w:sz w:val="19"/>
              </w:rPr>
              <w:t>3–10 years</w:t>
            </w:r>
          </w:p>
        </w:tc>
      </w:tr>
    </w:tbl>
    <w:p>
      <w:pPr>
        <w:spacing w:after="60"/>
      </w:pPr>
    </w:p>
    <w:p>
      <w:pPr>
        <w:spacing w:before="200" w:after="100"/>
        <w:jc w:val="left"/>
      </w:pPr>
      <w:r>
        <w:rPr>
          <w:rFonts w:ascii="Calibri" w:hAnsi="Calibri"/>
          <w:b/>
          <w:color w:val="007A87"/>
          <w:sz w:val="28"/>
        </w:rPr>
        <w:t>1.2  The Automation Tax Signal</w:t>
      </w:r>
    </w:p>
    <w:p>
      <w:pPr>
        <w:spacing w:after="100" w:before="0"/>
        <w:jc w:val="left"/>
      </w:pPr>
      <w:r>
        <w:rPr>
          <w:rFonts w:ascii="Calibri" w:hAnsi="Calibri"/>
          <w:b w:val="0"/>
          <w:i w:val="0"/>
          <w:sz w:val="21"/>
        </w:rPr>
        <w:t>When Country A introduces the 15% automation tax, technology companies with global operations must decide: absorb it, relocate automation to non-TB countries, or accept it. The critical insight: the automation tax in Country A is offset by access to a more productive, better-educated workforce. This changes the calculus:</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Company X runs automation in Country A (TB): pays 15% automation tax but gains access to TB-educated workforce, higher domestic demand, and greater political stability.</w:t>
              <w:br/>
              <w:br/>
              <w:t>Company X runs automation in Country B (no TB): pays 0% automation tax but faces higher welfare costs (passed through corporate taxes), lower consumer demand, and growing automation-displacement social unrest.</w:t>
              <w:br/>
              <w:br/>
              <w:t>Net result: Country A becomes MORE attractive for high-value automation investment, not less.</w:t>
            </w:r>
          </w:p>
        </w:tc>
      </w:tr>
    </w:tbl>
    <w:p>
      <w:pPr>
        <w:spacing w:after="60"/>
      </w:pPr>
    </w:p>
    <w:p>
      <w:r>
        <w:br w:type="page"/>
      </w:r>
    </w:p>
    <w:p>
      <w:pPr>
        <w:spacing w:before="200" w:after="100"/>
        <w:jc w:val="left"/>
      </w:pPr>
      <w:r>
        <w:rPr>
          <w:rFonts w:ascii="Calibri" w:hAnsi="Calibri"/>
          <w:b/>
          <w:color w:val="1A375E"/>
          <w:sz w:val="36"/>
        </w:rPr>
        <w:t>2.  How Are Other Countries Affected?</w:t>
      </w:r>
    </w:p>
    <w:p>
      <w:pPr>
        <w:spacing w:before="80" w:after="80"/>
        <w:pBdr>
          <w:bottom w:val="single" w:sz="6" w:space="1" w:color="007A87"/>
        </w:pBdr>
      </w:pPr>
    </w:p>
    <w:p>
      <w:pPr>
        <w:spacing w:before="200" w:after="100"/>
        <w:jc w:val="left"/>
      </w:pPr>
      <w:r>
        <w:rPr>
          <w:rFonts w:ascii="Calibri" w:hAnsi="Calibri"/>
          <w:b/>
          <w:color w:val="007A87"/>
          <w:sz w:val="28"/>
        </w:rPr>
        <w:t>2.1  Brain Drain — The Immediate Pressure</w:t>
      </w:r>
    </w:p>
    <w:p>
      <w:pPr>
        <w:spacing w:after="100" w:before="0"/>
        <w:jc w:val="left"/>
      </w:pPr>
      <w:r>
        <w:rPr>
          <w:rFonts w:ascii="Calibri" w:hAnsi="Calibri"/>
          <w:b w:val="0"/>
          <w:i w:val="0"/>
          <w:sz w:val="21"/>
        </w:rPr>
        <w:t>The most immediate and powerful effect on non-TB countries is talent migration. When Country A offers:</w:t>
      </w:r>
    </w:p>
    <w:p>
      <w:pPr>
        <w:pStyle w:val="ListBullet"/>
        <w:spacing w:after="60" w:before="20"/>
        <w:ind w:left="454"/>
      </w:pPr>
      <w:r>
        <w:rPr>
          <w:rFonts w:ascii="Calibri" w:hAnsi="Calibri"/>
          <w:sz w:val="21"/>
        </w:rPr>
        <w:t>0% interest capital advances for education and entrepreneurship</w:t>
      </w:r>
    </w:p>
    <w:p>
      <w:pPr>
        <w:pStyle w:val="ListBullet"/>
        <w:spacing w:after="60" w:before="20"/>
        <w:ind w:left="454"/>
      </w:pPr>
      <w:r>
        <w:rPr>
          <w:rFonts w:ascii="Calibri" w:hAnsi="Calibri"/>
          <w:sz w:val="21"/>
        </w:rPr>
        <w:t>A 59% larger economy with more opportunities over 25 years</w:t>
      </w:r>
    </w:p>
    <w:p>
      <w:pPr>
        <w:pStyle w:val="ListBullet"/>
        <w:spacing w:after="60" w:before="20"/>
        <w:ind w:left="454"/>
      </w:pPr>
      <w:r>
        <w:rPr>
          <w:rFonts w:ascii="Calibri" w:hAnsi="Calibri"/>
          <w:sz w:val="21"/>
        </w:rPr>
        <w:t>Lower inequality and greater social mobility</w:t>
      </w:r>
    </w:p>
    <w:p>
      <w:pPr>
        <w:pStyle w:val="ListBullet"/>
        <w:spacing w:after="60" w:before="20"/>
        <w:ind w:left="454"/>
      </w:pPr>
      <w:r>
        <w:rPr>
          <w:rFonts w:ascii="Calibri" w:hAnsi="Calibri"/>
          <w:sz w:val="21"/>
        </w:rPr>
        <w:t>No welfare stigma — TB is a universal instrument available to all</w:t>
      </w:r>
    </w:p>
    <w:p>
      <w:pPr>
        <w:spacing w:after="100" w:before="0"/>
        <w:jc w:val="left"/>
      </w:pPr>
      <w:r>
        <w:rPr>
          <w:rFonts w:ascii="Calibri" w:hAnsi="Calibri"/>
          <w:b w:val="0"/>
          <w:i w:val="0"/>
          <w:sz w:val="21"/>
        </w:rPr>
        <w:t>...skilled workers, students, and entrepreneurs in non-TB countries face a powerful incentive to migrate. This is especially acute for:</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Worker Type</w:t>
            </w:r>
          </w:p>
        </w:tc>
        <w:tc>
          <w:tcPr>
            <w:tcW w:type="dxa" w:w="3022"/>
            <w:shd w:val="clear" w:color="auto" w:fill="007A87"/>
          </w:tcPr>
          <w:p>
            <w:pPr>
              <w:jc w:val="center"/>
            </w:pPr>
            <w:r>
              <w:rPr>
                <w:rFonts w:ascii="Calibri" w:hAnsi="Calibri"/>
                <w:b/>
                <w:color w:val="FFFFFF"/>
                <w:sz w:val="19"/>
              </w:rPr>
              <w:t>Why They Leave</w:t>
            </w:r>
          </w:p>
        </w:tc>
        <w:tc>
          <w:tcPr>
            <w:tcW w:type="dxa" w:w="3022"/>
            <w:shd w:val="clear" w:color="auto" w:fill="007A87"/>
          </w:tcPr>
          <w:p>
            <w:pPr>
              <w:jc w:val="center"/>
            </w:pPr>
            <w:r>
              <w:rPr>
                <w:rFonts w:ascii="Calibri" w:hAnsi="Calibri"/>
                <w:b/>
                <w:color w:val="FFFFFF"/>
                <w:sz w:val="19"/>
              </w:rPr>
              <w:t>Impact on Home Country</w:t>
            </w:r>
          </w:p>
        </w:tc>
      </w:tr>
      <w:tr>
        <w:tc>
          <w:tcPr>
            <w:tcW w:type="dxa" w:w="3022"/>
          </w:tcPr>
          <w:p>
            <w:pPr>
              <w:jc w:val="left"/>
            </w:pPr>
            <w:r>
              <w:rPr>
                <w:rFonts w:ascii="Calibri" w:hAnsi="Calibri"/>
                <w:sz w:val="19"/>
              </w:rPr>
              <w:t>University graduates</w:t>
            </w:r>
          </w:p>
        </w:tc>
        <w:tc>
          <w:tcPr>
            <w:tcW w:type="dxa" w:w="3022"/>
          </w:tcPr>
          <w:p>
            <w:pPr>
              <w:jc w:val="center"/>
            </w:pPr>
            <w:r>
              <w:rPr>
                <w:rFonts w:ascii="Calibri" w:hAnsi="Calibri"/>
                <w:sz w:val="19"/>
              </w:rPr>
              <w:t>TB funds their career start with 0% interest — not available at home</w:t>
            </w:r>
          </w:p>
        </w:tc>
        <w:tc>
          <w:tcPr>
            <w:tcW w:type="dxa" w:w="3022"/>
          </w:tcPr>
          <w:p>
            <w:pPr>
              <w:jc w:val="center"/>
            </w:pPr>
            <w:r>
              <w:rPr>
                <w:rFonts w:ascii="Calibri" w:hAnsi="Calibri"/>
                <w:sz w:val="19"/>
              </w:rPr>
              <w:t>Loss of young talent, rising welfare costs</w:t>
            </w:r>
          </w:p>
        </w:tc>
      </w:tr>
      <w:tr>
        <w:tc>
          <w:tcPr>
            <w:tcW w:type="dxa" w:w="3022"/>
            <w:shd w:val="clear" w:color="auto" w:fill="EEF3FA"/>
          </w:tcPr>
          <w:p>
            <w:pPr>
              <w:jc w:val="left"/>
            </w:pPr>
            <w:r>
              <w:rPr>
                <w:rFonts w:ascii="Calibri" w:hAnsi="Calibri"/>
                <w:sz w:val="19"/>
              </w:rPr>
              <w:t>Entrepreneurs</w:t>
            </w:r>
          </w:p>
        </w:tc>
        <w:tc>
          <w:tcPr>
            <w:tcW w:type="dxa" w:w="3022"/>
            <w:shd w:val="clear" w:color="auto" w:fill="EEF3FA"/>
          </w:tcPr>
          <w:p>
            <w:pPr>
              <w:jc w:val="center"/>
            </w:pPr>
            <w:r>
              <w:rPr>
                <w:rFonts w:ascii="Calibri" w:hAnsi="Calibri"/>
                <w:sz w:val="19"/>
              </w:rPr>
              <w:t>TB provides seed capital no local bank will give</w:t>
            </w:r>
          </w:p>
        </w:tc>
        <w:tc>
          <w:tcPr>
            <w:tcW w:type="dxa" w:w="3022"/>
            <w:shd w:val="clear" w:color="auto" w:fill="EEF3FA"/>
          </w:tcPr>
          <w:p>
            <w:pPr>
              <w:jc w:val="center"/>
            </w:pPr>
            <w:r>
              <w:rPr>
                <w:rFonts w:ascii="Calibri" w:hAnsi="Calibri"/>
                <w:sz w:val="19"/>
              </w:rPr>
              <w:t>Fewer startups, slower innovation</w:t>
            </w:r>
          </w:p>
        </w:tc>
      </w:tr>
      <w:tr>
        <w:tc>
          <w:tcPr>
            <w:tcW w:type="dxa" w:w="3022"/>
          </w:tcPr>
          <w:p>
            <w:pPr>
              <w:jc w:val="left"/>
            </w:pPr>
            <w:r>
              <w:rPr>
                <w:rFonts w:ascii="Calibri" w:hAnsi="Calibri"/>
                <w:sz w:val="19"/>
              </w:rPr>
              <w:t>Displaced workers</w:t>
            </w:r>
          </w:p>
        </w:tc>
        <w:tc>
          <w:tcPr>
            <w:tcW w:type="dxa" w:w="3022"/>
          </w:tcPr>
          <w:p>
            <w:pPr>
              <w:jc w:val="center"/>
            </w:pPr>
            <w:r>
              <w:rPr>
                <w:rFonts w:ascii="Calibri" w:hAnsi="Calibri"/>
                <w:sz w:val="19"/>
              </w:rPr>
              <w:t>TB funds retraining — at home they would face long-term unemployment</w:t>
            </w:r>
          </w:p>
        </w:tc>
        <w:tc>
          <w:tcPr>
            <w:tcW w:type="dxa" w:w="3022"/>
          </w:tcPr>
          <w:p>
            <w:pPr>
              <w:jc w:val="center"/>
            </w:pPr>
            <w:r>
              <w:rPr>
                <w:rFonts w:ascii="Calibri" w:hAnsi="Calibri"/>
                <w:sz w:val="19"/>
              </w:rPr>
              <w:t>Higher welfare burden, slower recovery</w:t>
            </w:r>
          </w:p>
        </w:tc>
      </w:tr>
      <w:tr>
        <w:tc>
          <w:tcPr>
            <w:tcW w:type="dxa" w:w="3022"/>
            <w:shd w:val="clear" w:color="auto" w:fill="EEF3FA"/>
          </w:tcPr>
          <w:p>
            <w:pPr>
              <w:jc w:val="left"/>
            </w:pPr>
            <w:r>
              <w:rPr>
                <w:rFonts w:ascii="Calibri" w:hAnsi="Calibri"/>
                <w:sz w:val="19"/>
              </w:rPr>
              <w:t>Researchers</w:t>
            </w:r>
          </w:p>
        </w:tc>
        <w:tc>
          <w:tcPr>
            <w:tcW w:type="dxa" w:w="3022"/>
            <w:shd w:val="clear" w:color="auto" w:fill="EEF3FA"/>
          </w:tcPr>
          <w:p>
            <w:pPr>
              <w:jc w:val="center"/>
            </w:pPr>
            <w:r>
              <w:rPr>
                <w:rFonts w:ascii="Calibri" w:hAnsi="Calibri"/>
                <w:sz w:val="19"/>
              </w:rPr>
              <w:t>TB-rich country invests more in R&amp;D (PP6: +50% productivity)</w:t>
            </w:r>
          </w:p>
        </w:tc>
        <w:tc>
          <w:tcPr>
            <w:tcW w:type="dxa" w:w="3022"/>
            <w:shd w:val="clear" w:color="auto" w:fill="EEF3FA"/>
          </w:tcPr>
          <w:p>
            <w:pPr>
              <w:jc w:val="center"/>
            </w:pPr>
            <w:r>
              <w:rPr>
                <w:rFonts w:ascii="Calibri" w:hAnsi="Calibri"/>
                <w:sz w:val="19"/>
              </w:rPr>
              <w:t>Research gap widens over time</w:t>
            </w:r>
          </w:p>
        </w:tc>
      </w:tr>
    </w:tbl>
    <w:p>
      <w:pPr>
        <w:spacing w:after="60"/>
      </w:pPr>
    </w:p>
    <w:p>
      <w:pPr>
        <w:spacing w:before="200" w:after="100"/>
        <w:jc w:val="left"/>
      </w:pPr>
      <w:r>
        <w:rPr>
          <w:rFonts w:ascii="Calibri" w:hAnsi="Calibri"/>
          <w:b/>
          <w:color w:val="007A87"/>
          <w:sz w:val="28"/>
        </w:rPr>
        <w:t>2.2  Competitive Disadvantage — The Compounding Effect</w:t>
      </w:r>
    </w:p>
    <w:p>
      <w:pPr>
        <w:spacing w:after="100" w:before="0"/>
        <w:jc w:val="left"/>
      </w:pPr>
      <w:r>
        <w:rPr>
          <w:rFonts w:ascii="Calibri" w:hAnsi="Calibri"/>
          <w:b w:val="0"/>
          <w:i w:val="0"/>
          <w:sz w:val="21"/>
        </w:rPr>
        <w:t>The GDP premium compounds over time. In year 1 the difference is small. By year 25, the TB country's economy is 59% larger — meaning its defence budget, infrastructure budget, R&amp;D budget, and international influence all compound accordingly.</w:t>
      </w:r>
    </w:p>
    <w:p>
      <w:pPr>
        <w:spacing w:after="100" w:before="0"/>
        <w:jc w:val="left"/>
      </w:pPr>
      <w:r>
        <w:rPr>
          <w:rFonts w:ascii="Calibri" w:hAnsi="Calibri"/>
          <w:b w:val="0"/>
          <w:i w:val="0"/>
          <w:sz w:val="21"/>
        </w:rPr>
        <w:t>Historical parallel: Countries that adopted universal public education in the late 19th century (Germany, Japan, Scandinavia) created a compounding human capital advantage that took non-adopters 50–100 years to close. TB is the 21st-century equivalent.</w:t>
      </w:r>
    </w:p>
    <w:p>
      <w:pPr>
        <w:spacing w:before="200" w:after="100"/>
        <w:jc w:val="left"/>
      </w:pPr>
      <w:r>
        <w:rPr>
          <w:rFonts w:ascii="Calibri" w:hAnsi="Calibri"/>
          <w:b/>
          <w:color w:val="007A87"/>
          <w:sz w:val="28"/>
        </w:rPr>
        <w:t>2.3  The Automation Tax Arbitrage Problem</w:t>
      </w:r>
    </w:p>
    <w:p>
      <w:pPr>
        <w:spacing w:after="100" w:before="0"/>
        <w:jc w:val="left"/>
      </w:pPr>
      <w:r>
        <w:rPr>
          <w:rFonts w:ascii="Calibri" w:hAnsi="Calibri"/>
          <w:b w:val="0"/>
          <w:i w:val="0"/>
          <w:sz w:val="21"/>
        </w:rPr>
        <w:t>Without international coordination, non-TB countries may attract automation investment as a 'tax haven' for machines. This creates a race-to-the-bottom risk:</w:t>
      </w:r>
    </w:p>
    <w:p>
      <w:pPr>
        <w:pStyle w:val="ListBullet"/>
        <w:spacing w:after="60" w:before="20"/>
        <w:ind w:left="454"/>
      </w:pPr>
      <w:r>
        <w:rPr>
          <w:rFonts w:ascii="Calibri" w:hAnsi="Calibri"/>
          <w:sz w:val="21"/>
        </w:rPr>
        <w:t>Country B advertises '0% automation tax' to attract corporate AI investment</w:t>
      </w:r>
    </w:p>
    <w:p>
      <w:pPr>
        <w:pStyle w:val="ListBullet"/>
        <w:spacing w:after="60" w:before="20"/>
        <w:ind w:left="454"/>
      </w:pPr>
      <w:r>
        <w:rPr>
          <w:rFonts w:ascii="Calibri" w:hAnsi="Calibri"/>
          <w:sz w:val="21"/>
        </w:rPr>
        <w:t>Automation concentrates in Country B — but without TB, the displaced workers in Country B receive nothing</w:t>
      </w:r>
    </w:p>
    <w:p>
      <w:pPr>
        <w:pStyle w:val="ListBullet"/>
        <w:spacing w:after="60" w:before="20"/>
        <w:ind w:left="454"/>
      </w:pPr>
      <w:r>
        <w:rPr>
          <w:rFonts w:ascii="Calibri" w:hAnsi="Calibri"/>
          <w:sz w:val="21"/>
        </w:rPr>
        <w:t>Country B becomes wealthier in corporate terms but more unequal in citizen terms</w:t>
      </w:r>
    </w:p>
    <w:p>
      <w:pPr>
        <w:pStyle w:val="ListBullet"/>
        <w:spacing w:after="60" w:before="20"/>
        <w:ind w:left="454"/>
      </w:pPr>
      <w:r>
        <w:rPr>
          <w:rFonts w:ascii="Calibri" w:hAnsi="Calibri"/>
          <w:sz w:val="21"/>
        </w:rPr>
        <w:t>Social unrest grows in Country B. Political instability follows.</w:t>
      </w:r>
    </w:p>
    <w:p>
      <w:pPr>
        <w:spacing w:after="100" w:before="0"/>
        <w:jc w:val="left"/>
      </w:pPr>
      <w:r>
        <w:rPr>
          <w:rFonts w:ascii="Calibri" w:hAnsi="Calibri"/>
          <w:b w:val="0"/>
          <w:i w:val="0"/>
          <w:sz w:val="21"/>
        </w:rPr>
        <w:t>This is not a theoretical risk — it mirrors exactly what happened with corporate tax havens 1990–2020.</w:t>
      </w:r>
    </w:p>
    <w:p>
      <w:r>
        <w:br w:type="page"/>
      </w:r>
    </w:p>
    <w:p>
      <w:pPr>
        <w:spacing w:before="200" w:after="100"/>
        <w:jc w:val="left"/>
      </w:pPr>
      <w:r>
        <w:rPr>
          <w:rFonts w:ascii="Calibri" w:hAnsi="Calibri"/>
          <w:b/>
          <w:color w:val="1A375E"/>
          <w:sz w:val="36"/>
        </w:rPr>
        <w:t>3.  Game Theory Analysis</w:t>
      </w:r>
    </w:p>
    <w:p>
      <w:pPr>
        <w:spacing w:before="80" w:after="80"/>
        <w:pBdr>
          <w:bottom w:val="single" w:sz="6" w:space="1" w:color="007A87"/>
        </w:pBdr>
      </w:pPr>
    </w:p>
    <w:p>
      <w:pPr>
        <w:spacing w:after="100" w:before="0"/>
        <w:jc w:val="left"/>
      </w:pPr>
      <w:r>
        <w:rPr>
          <w:rFonts w:ascii="Calibri" w:hAnsi="Calibri"/>
          <w:b w:val="0"/>
          <w:i w:val="0"/>
          <w:sz w:val="21"/>
        </w:rPr>
        <w:t>Game theory models strategic interactions between rational actors. We apply it here to analyse the adoption decision for two countries: Country A and Country B.</w:t>
      </w:r>
    </w:p>
    <w:p>
      <w:pPr>
        <w:spacing w:before="200" w:after="100"/>
        <w:jc w:val="left"/>
      </w:pPr>
      <w:r>
        <w:rPr>
          <w:rFonts w:ascii="Calibri" w:hAnsi="Calibri"/>
          <w:b/>
          <w:color w:val="007A87"/>
          <w:sz w:val="28"/>
        </w:rPr>
        <w:t>3.1  The Basic Two-Country Adoption Game</w:t>
      </w:r>
    </w:p>
    <w:p>
      <w:pPr>
        <w:spacing w:after="100" w:before="0"/>
        <w:jc w:val="left"/>
      </w:pPr>
      <w:r>
        <w:rPr>
          <w:rFonts w:ascii="Calibri" w:hAnsi="Calibri"/>
          <w:b w:val="0"/>
          <w:i w:val="0"/>
          <w:sz w:val="21"/>
        </w:rPr>
        <w:t>Each country has two strategies: ADOPT the TBI, or NOT ADOPT.</w:t>
      </w:r>
    </w:p>
    <w:p>
      <w:pPr>
        <w:spacing w:after="120" w:before="0"/>
        <w:jc w:val="left"/>
      </w:pPr>
      <w:r>
        <w:rPr>
          <w:rFonts w:ascii="Calibri" w:hAnsi="Calibri"/>
          <w:b w:val="0"/>
          <w:i w:val="0"/>
          <w:sz w:val="21"/>
        </w:rPr>
        <w:t>The payoffs are measured in 25-year GDP premium relative to baseline (from simulation):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5B2D8E"/>
          </w:tcPr>
          <w:p>
            <w:pPr>
              <w:jc w:val="center"/>
            </w:pPr>
            <w:r>
              <w:rPr>
                <w:rFonts w:ascii="Calibri" w:hAnsi="Calibri"/>
                <w:b/>
                <w:color w:val="FFFFFF"/>
                <w:sz w:val="19"/>
              </w:rPr>
            </w:r>
          </w:p>
        </w:tc>
        <w:tc>
          <w:tcPr>
            <w:tcW w:type="dxa" w:w="3022"/>
            <w:shd w:val="clear" w:color="auto" w:fill="5B2D8E"/>
          </w:tcPr>
          <w:p>
            <w:pPr>
              <w:jc w:val="center"/>
            </w:pPr>
            <w:r>
              <w:rPr>
                <w:rFonts w:ascii="Calibri" w:hAnsi="Calibri"/>
                <w:b/>
                <w:color w:val="FFFFFF"/>
                <w:sz w:val="19"/>
              </w:rPr>
              <w:t>Country B: ADOPT</w:t>
            </w:r>
          </w:p>
        </w:tc>
        <w:tc>
          <w:tcPr>
            <w:tcW w:type="dxa" w:w="3022"/>
            <w:shd w:val="clear" w:color="auto" w:fill="5B2D8E"/>
          </w:tcPr>
          <w:p>
            <w:pPr>
              <w:jc w:val="center"/>
            </w:pPr>
            <w:r>
              <w:rPr>
                <w:rFonts w:ascii="Calibri" w:hAnsi="Calibri"/>
                <w:b/>
                <w:color w:val="FFFFFF"/>
                <w:sz w:val="19"/>
              </w:rPr>
              <w:t>Country B: NOT ADOPT</w:t>
            </w:r>
          </w:p>
        </w:tc>
      </w:tr>
      <w:tr>
        <w:tc>
          <w:tcPr>
            <w:tcW w:type="dxa" w:w="3022"/>
          </w:tcPr>
          <w:p>
            <w:pPr>
              <w:jc w:val="left"/>
            </w:pPr>
            <w:r>
              <w:rPr>
                <w:rFonts w:ascii="Calibri" w:hAnsi="Calibri"/>
                <w:sz w:val="19"/>
              </w:rPr>
              <w:t>Country A: ADOPT</w:t>
            </w:r>
          </w:p>
        </w:tc>
        <w:tc>
          <w:tcPr>
            <w:tcW w:type="dxa" w:w="3022"/>
          </w:tcPr>
          <w:p>
            <w:pPr>
              <w:jc w:val="center"/>
            </w:pPr>
            <w:r>
              <w:rPr>
                <w:rFonts w:ascii="Calibri" w:hAnsi="Calibri"/>
                <w:sz w:val="19"/>
              </w:rPr>
              <w:t>Both grow +59%. Trade between two TB economies boosts both.</w:t>
              <w:br/>
              <w:t>Payoff: A=+65, B=+65</w:t>
            </w:r>
          </w:p>
        </w:tc>
        <w:tc>
          <w:tcPr>
            <w:tcW w:type="dxa" w:w="3022"/>
          </w:tcPr>
          <w:p>
            <w:pPr>
              <w:jc w:val="center"/>
            </w:pPr>
            <w:r>
              <w:rPr>
                <w:rFonts w:ascii="Calibri" w:hAnsi="Calibri"/>
                <w:sz w:val="19"/>
              </w:rPr>
              <w:t>A grows +59%, B grows +12% (loses talent to A).</w:t>
              <w:br/>
              <w:t>Payoff: A=+72, B=+8</w:t>
            </w:r>
          </w:p>
        </w:tc>
      </w:tr>
      <w:tr>
        <w:tc>
          <w:tcPr>
            <w:tcW w:type="dxa" w:w="3022"/>
            <w:shd w:val="clear" w:color="auto" w:fill="EEF3FA"/>
          </w:tcPr>
          <w:p>
            <w:pPr>
              <w:jc w:val="left"/>
            </w:pPr>
            <w:r>
              <w:rPr>
                <w:rFonts w:ascii="Calibri" w:hAnsi="Calibri"/>
                <w:sz w:val="19"/>
              </w:rPr>
              <w:t>Country A: NOT ADOPT</w:t>
            </w:r>
          </w:p>
        </w:tc>
        <w:tc>
          <w:tcPr>
            <w:tcW w:type="dxa" w:w="3022"/>
            <w:shd w:val="clear" w:color="auto" w:fill="EEF3FA"/>
          </w:tcPr>
          <w:p>
            <w:pPr>
              <w:jc w:val="center"/>
            </w:pPr>
            <w:r>
              <w:rPr>
                <w:rFonts w:ascii="Calibri" w:hAnsi="Calibri"/>
                <w:sz w:val="19"/>
              </w:rPr>
              <w:t>B grows +59%, A grows +12% (loses talent to B).</w:t>
              <w:br/>
              <w:t>Payoff: A=+8, B=+72</w:t>
            </w:r>
          </w:p>
        </w:tc>
        <w:tc>
          <w:tcPr>
            <w:tcW w:type="dxa" w:w="3022"/>
            <w:shd w:val="clear" w:color="auto" w:fill="EEF3FA"/>
          </w:tcPr>
          <w:p>
            <w:pPr>
              <w:jc w:val="center"/>
            </w:pPr>
            <w:r>
              <w:rPr>
                <w:rFonts w:ascii="Calibri" w:hAnsi="Calibri"/>
                <w:sz w:val="19"/>
              </w:rPr>
              <w:t>Neither adopts. Both grow at baseline +22% (over 25yr).</w:t>
              <w:br/>
              <w:t>Payoff: A=+22, B=+22</w:t>
            </w:r>
          </w:p>
        </w:tc>
      </w:tr>
    </w:tbl>
    <w:p>
      <w:pPr>
        <w:spacing w:after="60"/>
      </w:pPr>
    </w:p>
    <w:p>
      <w:pPr>
        <w:spacing w:after="80" w:before="0"/>
        <w:jc w:val="left"/>
      </w:pPr>
      <w:r>
        <w:rPr>
          <w:rFonts w:ascii="Calibri" w:hAnsi="Calibri"/>
          <w:b w:val="0"/>
          <w:i w:val="0"/>
          <w:sz w:val="21"/>
        </w:rPr>
        <w:t>Reading the payoff matrix:</w:t>
      </w:r>
    </w:p>
    <w:p>
      <w:pPr>
        <w:pStyle w:val="ListBullet"/>
        <w:spacing w:after="60" w:before="20"/>
        <w:ind w:left="454"/>
      </w:pPr>
      <w:r>
        <w:rPr>
          <w:rFonts w:ascii="Calibri" w:hAnsi="Calibri"/>
          <w:sz w:val="21"/>
        </w:rPr>
        <w:t>If B adopts, A's best response is also to ADOPT (65 &gt; 8)</w:t>
      </w:r>
    </w:p>
    <w:p>
      <w:pPr>
        <w:pStyle w:val="ListBullet"/>
        <w:spacing w:after="60" w:before="20"/>
        <w:ind w:left="454"/>
      </w:pPr>
      <w:r>
        <w:rPr>
          <w:rFonts w:ascii="Calibri" w:hAnsi="Calibri"/>
          <w:sz w:val="21"/>
        </w:rPr>
        <w:t>If B does NOT adopt, A's best response is still to ADOPT (72 &gt; 22)</w:t>
      </w:r>
    </w:p>
    <w:p>
      <w:pPr>
        <w:spacing w:after="100" w:before="0"/>
        <w:jc w:val="left"/>
      </w:pPr>
      <w:r>
        <w:rPr>
          <w:rFonts w:ascii="Calibri" w:hAnsi="Calibri"/>
          <w:b/>
          <w:i w:val="0"/>
          <w:color w:val="1A7A4A"/>
          <w:sz w:val="21"/>
        </w:rPr>
        <w:t>ADOPT is a DOMINANT STRATEGY for Country A — it is better regardless of what B does. By symmetry, ADOPT is also dominant for Country B. The Nash Equilibrium is therefore: BOTH ADOPT.</w:t>
      </w:r>
    </w:p>
    <w:p>
      <w:pPr>
        <w:spacing w:before="200" w:after="100"/>
        <w:jc w:val="left"/>
      </w:pPr>
      <w:r>
        <w:rPr>
          <w:rFonts w:ascii="Calibri" w:hAnsi="Calibri"/>
          <w:b/>
          <w:color w:val="007A87"/>
          <w:sz w:val="28"/>
        </w:rPr>
        <w:t>3.2  The Prisoner's Dilemma Variant — Why Coordination Still Matters</w:t>
      </w:r>
    </w:p>
    <w:p>
      <w:pPr>
        <w:spacing w:after="100" w:before="0"/>
        <w:jc w:val="left"/>
      </w:pPr>
      <w:r>
        <w:rPr>
          <w:rFonts w:ascii="Calibri" w:hAnsi="Calibri"/>
          <w:b w:val="0"/>
          <w:i w:val="0"/>
          <w:sz w:val="21"/>
        </w:rPr>
        <w:t>Despite mutual adoption being the Nash Equilibrium, the automation tax creates a 'race to the bottom' temptation: each country wants to free-ride by taxing automation at 0% while hoping others do the redistribution. This is the classic Prisoner's Dilemma structure: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5B2D8E"/>
          </w:tcPr>
          <w:p>
            <w:pPr>
              <w:jc w:val="center"/>
            </w:pPr>
            <w:r>
              <w:rPr>
                <w:rFonts w:ascii="Calibri" w:hAnsi="Calibri"/>
                <w:b/>
                <w:color w:val="FFFFFF"/>
                <w:sz w:val="19"/>
              </w:rPr>
            </w:r>
          </w:p>
        </w:tc>
        <w:tc>
          <w:tcPr>
            <w:tcW w:type="dxa" w:w="3022"/>
            <w:shd w:val="clear" w:color="auto" w:fill="5B2D8E"/>
          </w:tcPr>
          <w:p>
            <w:pPr>
              <w:jc w:val="center"/>
            </w:pPr>
            <w:r>
              <w:rPr>
                <w:rFonts w:ascii="Calibri" w:hAnsi="Calibri"/>
                <w:b/>
                <w:color w:val="FFFFFF"/>
                <w:sz w:val="19"/>
              </w:rPr>
              <w:t>Country B: Sets Automation Tax</w:t>
            </w:r>
          </w:p>
        </w:tc>
        <w:tc>
          <w:tcPr>
            <w:tcW w:type="dxa" w:w="3022"/>
            <w:shd w:val="clear" w:color="auto" w:fill="5B2D8E"/>
          </w:tcPr>
          <w:p>
            <w:pPr>
              <w:jc w:val="center"/>
            </w:pPr>
            <w:r>
              <w:rPr>
                <w:rFonts w:ascii="Calibri" w:hAnsi="Calibri"/>
                <w:b/>
                <w:color w:val="FFFFFF"/>
                <w:sz w:val="19"/>
              </w:rPr>
              <w:t>Country B: Free-rides (0% tax)</w:t>
            </w:r>
          </w:p>
        </w:tc>
      </w:tr>
      <w:tr>
        <w:tc>
          <w:tcPr>
            <w:tcW w:type="dxa" w:w="3022"/>
          </w:tcPr>
          <w:p>
            <w:pPr>
              <w:jc w:val="left"/>
            </w:pPr>
            <w:r>
              <w:rPr>
                <w:rFonts w:ascii="Calibri" w:hAnsi="Calibri"/>
                <w:sz w:val="19"/>
              </w:rPr>
              <w:t>Country A: Sets Tax</w:t>
            </w:r>
          </w:p>
        </w:tc>
        <w:tc>
          <w:tcPr>
            <w:tcW w:type="dxa" w:w="3022"/>
          </w:tcPr>
          <w:p>
            <w:pPr>
              <w:jc w:val="center"/>
            </w:pPr>
            <w:r>
              <w:rPr>
                <w:rFonts w:ascii="Calibri" w:hAnsi="Calibri"/>
                <w:sz w:val="19"/>
              </w:rPr>
              <w:t>Mutual TB: both pools funded. Payoff: A=+59, B=+59</w:t>
            </w:r>
          </w:p>
        </w:tc>
        <w:tc>
          <w:tcPr>
            <w:tcW w:type="dxa" w:w="3022"/>
          </w:tcPr>
          <w:p>
            <w:pPr>
              <w:jc w:val="center"/>
            </w:pPr>
            <w:r>
              <w:rPr>
                <w:rFonts w:ascii="Calibri" w:hAnsi="Calibri"/>
                <w:sz w:val="19"/>
              </w:rPr>
              <w:t>A funds TB, B attracts dirty automation. Payoff: A=+45, B=+70</w:t>
            </w:r>
          </w:p>
        </w:tc>
      </w:tr>
      <w:tr>
        <w:tc>
          <w:tcPr>
            <w:tcW w:type="dxa" w:w="3022"/>
            <w:shd w:val="clear" w:color="auto" w:fill="EEF3FA"/>
          </w:tcPr>
          <w:p>
            <w:pPr>
              <w:jc w:val="left"/>
            </w:pPr>
            <w:r>
              <w:rPr>
                <w:rFonts w:ascii="Calibri" w:hAnsi="Calibri"/>
                <w:sz w:val="19"/>
              </w:rPr>
              <w:t>Country A: Free-rides</w:t>
            </w:r>
          </w:p>
        </w:tc>
        <w:tc>
          <w:tcPr>
            <w:tcW w:type="dxa" w:w="3022"/>
            <w:shd w:val="clear" w:color="auto" w:fill="EEF3FA"/>
          </w:tcPr>
          <w:p>
            <w:pPr>
              <w:jc w:val="center"/>
            </w:pPr>
            <w:r>
              <w:rPr>
                <w:rFonts w:ascii="Calibri" w:hAnsi="Calibri"/>
                <w:sz w:val="19"/>
              </w:rPr>
              <w:t>B funds TB, A attracts automation. Payoff: A=+70, B=+45</w:t>
            </w:r>
          </w:p>
        </w:tc>
        <w:tc>
          <w:tcPr>
            <w:tcW w:type="dxa" w:w="3022"/>
            <w:shd w:val="clear" w:color="auto" w:fill="EEF3FA"/>
          </w:tcPr>
          <w:p>
            <w:pPr>
              <w:jc w:val="center"/>
            </w:pPr>
            <w:r>
              <w:rPr>
                <w:rFonts w:ascii="Calibri" w:hAnsi="Calibri"/>
                <w:sz w:val="19"/>
              </w:rPr>
              <w:t>No TB anywhere. Both lose talent. Payoff: A=+22, B=+22</w:t>
            </w:r>
          </w:p>
        </w:tc>
      </w:tr>
    </w:tbl>
    <w:p>
      <w:pPr>
        <w:spacing w:after="6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This is why international coordination (an OECD TB Treaty, similar to the 2023 Global Minimum Corporate Tax at 15%) is essential. Without coordination, the temptation to free-ride creates instability. With coordination, all countries reach the best joint outcome.</w:t>
            </w:r>
          </w:p>
        </w:tc>
      </w:tr>
    </w:tbl>
    <w:p>
      <w:pPr>
        <w:spacing w:after="60"/>
      </w:pPr>
    </w:p>
    <w:p>
      <w:r>
        <w:br w:type="page"/>
      </w:r>
    </w:p>
    <w:p>
      <w:pPr>
        <w:spacing w:before="200" w:after="100"/>
        <w:jc w:val="left"/>
      </w:pPr>
      <w:r>
        <w:rPr>
          <w:rFonts w:ascii="Calibri" w:hAnsi="Calibri"/>
          <w:b/>
          <w:color w:val="007A87"/>
          <w:sz w:val="28"/>
        </w:rPr>
        <w:t>3.3  The First-Mover Advantage</w:t>
      </w:r>
    </w:p>
    <w:p>
      <w:pPr>
        <w:spacing w:after="100" w:before="0"/>
        <w:jc w:val="left"/>
      </w:pPr>
      <w:r>
        <w:rPr>
          <w:rFonts w:ascii="Calibri" w:hAnsi="Calibri"/>
          <w:b w:val="0"/>
          <w:i w:val="0"/>
          <w:sz w:val="21"/>
        </w:rPr>
        <w:t>In this game, the first country to adopt gains a unique advantage: it attracts the global talent pool BEFORE competitors can respond. The 25-year compounding effect means that a 5-year head start translates to:</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Head Start</w:t>
            </w:r>
          </w:p>
        </w:tc>
        <w:tc>
          <w:tcPr>
            <w:tcW w:type="dxa" w:w="3022"/>
            <w:shd w:val="clear" w:color="auto" w:fill="1A375E"/>
          </w:tcPr>
          <w:p>
            <w:pPr>
              <w:jc w:val="center"/>
            </w:pPr>
            <w:r>
              <w:rPr>
                <w:rFonts w:ascii="Calibri" w:hAnsi="Calibri"/>
                <w:b/>
                <w:color w:val="FFFFFF"/>
                <w:sz w:val="19"/>
              </w:rPr>
              <w:t>GDP Lead at Year 25</w:t>
            </w:r>
          </w:p>
        </w:tc>
        <w:tc>
          <w:tcPr>
            <w:tcW w:type="dxa" w:w="3022"/>
            <w:shd w:val="clear" w:color="auto" w:fill="1A375E"/>
          </w:tcPr>
          <w:p>
            <w:pPr>
              <w:jc w:val="center"/>
            </w:pPr>
            <w:r>
              <w:rPr>
                <w:rFonts w:ascii="Calibri" w:hAnsi="Calibri"/>
                <w:b/>
                <w:color w:val="FFFFFF"/>
                <w:sz w:val="19"/>
              </w:rPr>
              <w:t>Interpretation</w:t>
            </w:r>
          </w:p>
        </w:tc>
      </w:tr>
      <w:tr>
        <w:tc>
          <w:tcPr>
            <w:tcW w:type="dxa" w:w="3022"/>
          </w:tcPr>
          <w:p>
            <w:pPr>
              <w:jc w:val="left"/>
            </w:pPr>
            <w:r>
              <w:rPr>
                <w:rFonts w:ascii="Calibri" w:hAnsi="Calibri"/>
                <w:sz w:val="19"/>
              </w:rPr>
              <w:t>1 year earlier</w:t>
            </w:r>
          </w:p>
        </w:tc>
        <w:tc>
          <w:tcPr>
            <w:tcW w:type="dxa" w:w="3022"/>
          </w:tcPr>
          <w:p>
            <w:pPr>
              <w:jc w:val="center"/>
            </w:pPr>
            <w:r>
              <w:rPr>
                <w:rFonts w:ascii="Calibri" w:hAnsi="Calibri"/>
                <w:sz w:val="19"/>
              </w:rPr>
              <w:t>~6% GDP premium over late adopter</w:t>
            </w:r>
          </w:p>
        </w:tc>
        <w:tc>
          <w:tcPr>
            <w:tcW w:type="dxa" w:w="3022"/>
          </w:tcPr>
          <w:p>
            <w:pPr>
              <w:jc w:val="center"/>
            </w:pPr>
            <w:r>
              <w:rPr>
                <w:rFonts w:ascii="Calibri" w:hAnsi="Calibri"/>
                <w:sz w:val="19"/>
              </w:rPr>
              <w:t>Meaningful but catchable</w:t>
            </w:r>
          </w:p>
        </w:tc>
      </w:tr>
      <w:tr>
        <w:tc>
          <w:tcPr>
            <w:tcW w:type="dxa" w:w="3022"/>
            <w:shd w:val="clear" w:color="auto" w:fill="EEF3FA"/>
          </w:tcPr>
          <w:p>
            <w:pPr>
              <w:jc w:val="left"/>
            </w:pPr>
            <w:r>
              <w:rPr>
                <w:rFonts w:ascii="Calibri" w:hAnsi="Calibri"/>
                <w:sz w:val="19"/>
              </w:rPr>
              <w:t>5 years earlier</w:t>
            </w:r>
          </w:p>
        </w:tc>
        <w:tc>
          <w:tcPr>
            <w:tcW w:type="dxa" w:w="3022"/>
            <w:shd w:val="clear" w:color="auto" w:fill="EEF3FA"/>
          </w:tcPr>
          <w:p>
            <w:pPr>
              <w:jc w:val="center"/>
            </w:pPr>
            <w:r>
              <w:rPr>
                <w:rFonts w:ascii="Calibri" w:hAnsi="Calibri"/>
                <w:sz w:val="19"/>
              </w:rPr>
              <w:t>~35% GDP premium over late adopter</w:t>
            </w:r>
          </w:p>
        </w:tc>
        <w:tc>
          <w:tcPr>
            <w:tcW w:type="dxa" w:w="3022"/>
            <w:shd w:val="clear" w:color="auto" w:fill="EEF3FA"/>
          </w:tcPr>
          <w:p>
            <w:pPr>
              <w:jc w:val="center"/>
            </w:pPr>
            <w:r>
              <w:rPr>
                <w:rFonts w:ascii="Calibri" w:hAnsi="Calibri"/>
                <w:sz w:val="19"/>
              </w:rPr>
              <w:t>Significant structural advantage</w:t>
            </w:r>
          </w:p>
        </w:tc>
      </w:tr>
      <w:tr>
        <w:tc>
          <w:tcPr>
            <w:tcW w:type="dxa" w:w="3022"/>
          </w:tcPr>
          <w:p>
            <w:pPr>
              <w:jc w:val="left"/>
            </w:pPr>
            <w:r>
              <w:rPr>
                <w:rFonts w:ascii="Calibri" w:hAnsi="Calibri"/>
                <w:sz w:val="19"/>
              </w:rPr>
              <w:t>10 years earlier</w:t>
            </w:r>
          </w:p>
        </w:tc>
        <w:tc>
          <w:tcPr>
            <w:tcW w:type="dxa" w:w="3022"/>
          </w:tcPr>
          <w:p>
            <w:pPr>
              <w:jc w:val="center"/>
            </w:pPr>
            <w:r>
              <w:rPr>
                <w:rFonts w:ascii="Calibri" w:hAnsi="Calibri"/>
                <w:sz w:val="19"/>
              </w:rPr>
              <w:t>~80% GDP premium over late adopter</w:t>
            </w:r>
          </w:p>
        </w:tc>
        <w:tc>
          <w:tcPr>
            <w:tcW w:type="dxa" w:w="3022"/>
          </w:tcPr>
          <w:p>
            <w:pPr>
              <w:jc w:val="center"/>
            </w:pPr>
            <w:r>
              <w:rPr>
                <w:rFonts w:ascii="Calibri" w:hAnsi="Calibri"/>
                <w:sz w:val="19"/>
              </w:rPr>
              <w:t>Near-impossible to close</w:t>
            </w:r>
          </w:p>
        </w:tc>
      </w:tr>
    </w:tbl>
    <w:p>
      <w:pPr>
        <w:spacing w:after="60"/>
      </w:pPr>
    </w:p>
    <w:p>
      <w:pPr>
        <w:spacing w:after="100" w:before="0"/>
        <w:jc w:val="left"/>
      </w:pPr>
      <w:r>
        <w:rPr>
          <w:rFonts w:ascii="Calibri" w:hAnsi="Calibri"/>
          <w:b w:val="0"/>
          <w:i w:val="0"/>
          <w:sz w:val="21"/>
        </w:rPr>
        <w:t>This first-mover dynamic creates a 'race to adopt' once the concept is proven — the exact opposite of the race-to-the-bottom in automation taxes. Countries will compete to be FIRST to adopt TB, not last.</w:t>
      </w:r>
    </w:p>
    <w:p>
      <w:pPr>
        <w:spacing w:before="200" w:after="100"/>
        <w:jc w:val="left"/>
      </w:pPr>
      <w:r>
        <w:rPr>
          <w:rFonts w:ascii="Calibri" w:hAnsi="Calibri"/>
          <w:b/>
          <w:color w:val="007A87"/>
          <w:sz w:val="28"/>
        </w:rPr>
        <w:t>3.4  The Domino Effect — Historical Analogues</w:t>
      </w:r>
    </w:p>
    <w:p>
      <w:pPr>
        <w:spacing w:after="100" w:before="0"/>
        <w:jc w:val="left"/>
      </w:pPr>
      <w:r>
        <w:rPr>
          <w:rFonts w:ascii="Calibri" w:hAnsi="Calibri"/>
          <w:b w:val="0"/>
          <w:i w:val="0"/>
          <w:sz w:val="21"/>
        </w:rPr>
        <w:t>History provides strong precedent for rapid multi-country adoption of welfare-expanding instruments once proven: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007A87"/>
          </w:tcPr>
          <w:p>
            <w:pPr>
              <w:jc w:val="center"/>
            </w:pPr>
            <w:r>
              <w:rPr>
                <w:rFonts w:ascii="Calibri" w:hAnsi="Calibri"/>
                <w:b/>
                <w:color w:val="FFFFFF"/>
                <w:sz w:val="19"/>
              </w:rPr>
              <w:t>Historical Instrument</w:t>
            </w:r>
          </w:p>
        </w:tc>
        <w:tc>
          <w:tcPr>
            <w:tcW w:type="dxa" w:w="2266"/>
            <w:shd w:val="clear" w:color="auto" w:fill="007A87"/>
          </w:tcPr>
          <w:p>
            <w:pPr>
              <w:jc w:val="center"/>
            </w:pPr>
            <w:r>
              <w:rPr>
                <w:rFonts w:ascii="Calibri" w:hAnsi="Calibri"/>
                <w:b/>
                <w:color w:val="FFFFFF"/>
                <w:sz w:val="19"/>
              </w:rPr>
              <w:t>First Mover</w:t>
            </w:r>
          </w:p>
        </w:tc>
        <w:tc>
          <w:tcPr>
            <w:tcW w:type="dxa" w:w="2266"/>
            <w:shd w:val="clear" w:color="auto" w:fill="007A87"/>
          </w:tcPr>
          <w:p>
            <w:pPr>
              <w:jc w:val="center"/>
            </w:pPr>
            <w:r>
              <w:rPr>
                <w:rFonts w:ascii="Calibri" w:hAnsi="Calibri"/>
                <w:b/>
                <w:color w:val="FFFFFF"/>
                <w:sz w:val="19"/>
              </w:rPr>
              <w:t>Time to Global Adoption</w:t>
            </w:r>
          </w:p>
        </w:tc>
        <w:tc>
          <w:tcPr>
            <w:tcW w:type="dxa" w:w="2266"/>
            <w:shd w:val="clear" w:color="auto" w:fill="007A87"/>
          </w:tcPr>
          <w:p>
            <w:pPr>
              <w:jc w:val="center"/>
            </w:pPr>
            <w:r>
              <w:rPr>
                <w:rFonts w:ascii="Calibri" w:hAnsi="Calibri"/>
                <w:b/>
                <w:color w:val="FFFFFF"/>
                <w:sz w:val="19"/>
              </w:rPr>
              <w:t>Mechanism</w:t>
            </w:r>
          </w:p>
        </w:tc>
      </w:tr>
      <w:tr>
        <w:tc>
          <w:tcPr>
            <w:tcW w:type="dxa" w:w="2266"/>
          </w:tcPr>
          <w:p>
            <w:pPr>
              <w:jc w:val="left"/>
            </w:pPr>
            <w:r>
              <w:rPr>
                <w:rFonts w:ascii="Calibri" w:hAnsi="Calibri"/>
                <w:sz w:val="19"/>
              </w:rPr>
              <w:t>Public universal education</w:t>
            </w:r>
          </w:p>
        </w:tc>
        <w:tc>
          <w:tcPr>
            <w:tcW w:type="dxa" w:w="2266"/>
          </w:tcPr>
          <w:p>
            <w:pPr>
              <w:jc w:val="center"/>
            </w:pPr>
            <w:r>
              <w:rPr>
                <w:rFonts w:ascii="Calibri" w:hAnsi="Calibri"/>
                <w:sz w:val="19"/>
              </w:rPr>
              <w:t>Prussia/Germany (1870s)</w:t>
            </w:r>
          </w:p>
        </w:tc>
        <w:tc>
          <w:tcPr>
            <w:tcW w:type="dxa" w:w="2266"/>
          </w:tcPr>
          <w:p>
            <w:pPr>
              <w:jc w:val="center"/>
            </w:pPr>
            <w:r>
              <w:rPr>
                <w:rFonts w:ascii="Calibri" w:hAnsi="Calibri"/>
                <w:sz w:val="19"/>
              </w:rPr>
              <w:t>40–80 years</w:t>
            </w:r>
          </w:p>
        </w:tc>
        <w:tc>
          <w:tcPr>
            <w:tcW w:type="dxa" w:w="2266"/>
          </w:tcPr>
          <w:p>
            <w:pPr>
              <w:jc w:val="center"/>
            </w:pPr>
            <w:r>
              <w:rPr>
                <w:rFonts w:ascii="Calibri" w:hAnsi="Calibri"/>
                <w:sz w:val="19"/>
              </w:rPr>
              <w:t>Economic advantage forced adoption</w:t>
            </w:r>
          </w:p>
        </w:tc>
      </w:tr>
      <w:tr>
        <w:tc>
          <w:tcPr>
            <w:tcW w:type="dxa" w:w="2266"/>
            <w:shd w:val="clear" w:color="auto" w:fill="EEF3FA"/>
          </w:tcPr>
          <w:p>
            <w:pPr>
              <w:jc w:val="left"/>
            </w:pPr>
            <w:r>
              <w:rPr>
                <w:rFonts w:ascii="Calibri" w:hAnsi="Calibri"/>
                <w:sz w:val="19"/>
              </w:rPr>
              <w:t>Universal suffrage</w:t>
            </w:r>
          </w:p>
        </w:tc>
        <w:tc>
          <w:tcPr>
            <w:tcW w:type="dxa" w:w="2266"/>
            <w:shd w:val="clear" w:color="auto" w:fill="EEF3FA"/>
          </w:tcPr>
          <w:p>
            <w:pPr>
              <w:jc w:val="center"/>
            </w:pPr>
            <w:r>
              <w:rPr>
                <w:rFonts w:ascii="Calibri" w:hAnsi="Calibri"/>
                <w:sz w:val="19"/>
              </w:rPr>
              <w:t>New Zealand (1893)</w:t>
            </w:r>
          </w:p>
        </w:tc>
        <w:tc>
          <w:tcPr>
            <w:tcW w:type="dxa" w:w="2266"/>
            <w:shd w:val="clear" w:color="auto" w:fill="EEF3FA"/>
          </w:tcPr>
          <w:p>
            <w:pPr>
              <w:jc w:val="center"/>
            </w:pPr>
            <w:r>
              <w:rPr>
                <w:rFonts w:ascii="Calibri" w:hAnsi="Calibri"/>
                <w:sz w:val="19"/>
              </w:rPr>
              <w:t>30–60 years</w:t>
            </w:r>
          </w:p>
        </w:tc>
        <w:tc>
          <w:tcPr>
            <w:tcW w:type="dxa" w:w="2266"/>
            <w:shd w:val="clear" w:color="auto" w:fill="EEF3FA"/>
          </w:tcPr>
          <w:p>
            <w:pPr>
              <w:jc w:val="center"/>
            </w:pPr>
            <w:r>
              <w:rPr>
                <w:rFonts w:ascii="Calibri" w:hAnsi="Calibri"/>
                <w:sz w:val="19"/>
              </w:rPr>
              <w:t>Social pressure + political competition</w:t>
            </w:r>
          </w:p>
        </w:tc>
      </w:tr>
      <w:tr>
        <w:tc>
          <w:tcPr>
            <w:tcW w:type="dxa" w:w="2266"/>
          </w:tcPr>
          <w:p>
            <w:pPr>
              <w:jc w:val="left"/>
            </w:pPr>
            <w:r>
              <w:rPr>
                <w:rFonts w:ascii="Calibri" w:hAnsi="Calibri"/>
                <w:sz w:val="19"/>
              </w:rPr>
              <w:t>National health systems</w:t>
            </w:r>
          </w:p>
        </w:tc>
        <w:tc>
          <w:tcPr>
            <w:tcW w:type="dxa" w:w="2266"/>
          </w:tcPr>
          <w:p>
            <w:pPr>
              <w:jc w:val="center"/>
            </w:pPr>
            <w:r>
              <w:rPr>
                <w:rFonts w:ascii="Calibri" w:hAnsi="Calibri"/>
                <w:sz w:val="19"/>
              </w:rPr>
              <w:t>Germany (1883)</w:t>
            </w:r>
          </w:p>
        </w:tc>
        <w:tc>
          <w:tcPr>
            <w:tcW w:type="dxa" w:w="2266"/>
          </w:tcPr>
          <w:p>
            <w:pPr>
              <w:jc w:val="center"/>
            </w:pPr>
            <w:r>
              <w:rPr>
                <w:rFonts w:ascii="Calibri" w:hAnsi="Calibri"/>
                <w:sz w:val="19"/>
              </w:rPr>
              <w:t>50–100 years</w:t>
            </w:r>
          </w:p>
        </w:tc>
        <w:tc>
          <w:tcPr>
            <w:tcW w:type="dxa" w:w="2266"/>
          </w:tcPr>
          <w:p>
            <w:pPr>
              <w:jc w:val="center"/>
            </w:pPr>
            <w:r>
              <w:rPr>
                <w:rFonts w:ascii="Calibri" w:hAnsi="Calibri"/>
                <w:sz w:val="19"/>
              </w:rPr>
              <w:t>Workforce productivity advantage</w:t>
            </w:r>
          </w:p>
        </w:tc>
      </w:tr>
      <w:tr>
        <w:tc>
          <w:tcPr>
            <w:tcW w:type="dxa" w:w="2266"/>
            <w:shd w:val="clear" w:color="auto" w:fill="EEF3FA"/>
          </w:tcPr>
          <w:p>
            <w:pPr>
              <w:jc w:val="left"/>
            </w:pPr>
            <w:r>
              <w:rPr>
                <w:rFonts w:ascii="Calibri" w:hAnsi="Calibri"/>
                <w:sz w:val="19"/>
              </w:rPr>
              <w:t>Old-age pensions</w:t>
            </w:r>
          </w:p>
        </w:tc>
        <w:tc>
          <w:tcPr>
            <w:tcW w:type="dxa" w:w="2266"/>
            <w:shd w:val="clear" w:color="auto" w:fill="EEF3FA"/>
          </w:tcPr>
          <w:p>
            <w:pPr>
              <w:jc w:val="center"/>
            </w:pPr>
            <w:r>
              <w:rPr>
                <w:rFonts w:ascii="Calibri" w:hAnsi="Calibri"/>
                <w:sz w:val="19"/>
              </w:rPr>
              <w:t>Bismarck's Germany (1889)</w:t>
            </w:r>
          </w:p>
        </w:tc>
        <w:tc>
          <w:tcPr>
            <w:tcW w:type="dxa" w:w="2266"/>
            <w:shd w:val="clear" w:color="auto" w:fill="EEF3FA"/>
          </w:tcPr>
          <w:p>
            <w:pPr>
              <w:jc w:val="center"/>
            </w:pPr>
            <w:r>
              <w:rPr>
                <w:rFonts w:ascii="Calibri" w:hAnsi="Calibri"/>
                <w:sz w:val="19"/>
              </w:rPr>
              <w:t>30–70 years</w:t>
            </w:r>
          </w:p>
        </w:tc>
        <w:tc>
          <w:tcPr>
            <w:tcW w:type="dxa" w:w="2266"/>
            <w:shd w:val="clear" w:color="auto" w:fill="EEF3FA"/>
          </w:tcPr>
          <w:p>
            <w:pPr>
              <w:jc w:val="center"/>
            </w:pPr>
            <w:r>
              <w:rPr>
                <w:rFonts w:ascii="Calibri" w:hAnsi="Calibri"/>
                <w:sz w:val="19"/>
              </w:rPr>
              <w:t>Political stability advantage</w:t>
            </w:r>
          </w:p>
        </w:tc>
      </w:tr>
      <w:tr>
        <w:tc>
          <w:tcPr>
            <w:tcW w:type="dxa" w:w="2266"/>
          </w:tcPr>
          <w:p>
            <w:pPr>
              <w:jc w:val="left"/>
            </w:pPr>
            <w:r>
              <w:rPr>
                <w:rFonts w:ascii="Calibri" w:hAnsi="Calibri"/>
                <w:sz w:val="19"/>
              </w:rPr>
              <w:t>Global min corporate tax (15%)</w:t>
            </w:r>
          </w:p>
        </w:tc>
        <w:tc>
          <w:tcPr>
            <w:tcW w:type="dxa" w:w="2266"/>
          </w:tcPr>
          <w:p>
            <w:pPr>
              <w:jc w:val="center"/>
            </w:pPr>
            <w:r>
              <w:rPr>
                <w:rFonts w:ascii="Calibri" w:hAnsi="Calibri"/>
                <w:sz w:val="19"/>
              </w:rPr>
              <w:t>OECD proposal (2021)</w:t>
            </w:r>
          </w:p>
        </w:tc>
        <w:tc>
          <w:tcPr>
            <w:tcW w:type="dxa" w:w="2266"/>
          </w:tcPr>
          <w:p>
            <w:pPr>
              <w:jc w:val="center"/>
            </w:pPr>
            <w:r>
              <w:rPr>
                <w:rFonts w:ascii="Calibri" w:hAnsi="Calibri"/>
                <w:sz w:val="19"/>
              </w:rPr>
              <w:t>2–3 years</w:t>
            </w:r>
          </w:p>
        </w:tc>
        <w:tc>
          <w:tcPr>
            <w:tcW w:type="dxa" w:w="2266"/>
          </w:tcPr>
          <w:p>
            <w:pPr>
              <w:jc w:val="center"/>
            </w:pPr>
            <w:r>
              <w:rPr>
                <w:rFonts w:ascii="Calibri" w:hAnsi="Calibri"/>
                <w:sz w:val="19"/>
              </w:rPr>
              <w:t>Revenue leakage coordination</w:t>
            </w:r>
          </w:p>
        </w:tc>
      </w:tr>
      <w:tr>
        <w:tc>
          <w:tcPr>
            <w:tcW w:type="dxa" w:w="2266"/>
            <w:shd w:val="clear" w:color="auto" w:fill="EEF3FA"/>
          </w:tcPr>
          <w:p>
            <w:pPr>
              <w:jc w:val="left"/>
            </w:pPr>
            <w:r>
              <w:rPr>
                <w:rFonts w:ascii="Calibri" w:hAnsi="Calibri"/>
                <w:sz w:val="19"/>
              </w:rPr>
              <w:t>Time Borrowing (projected)</w:t>
            </w:r>
          </w:p>
        </w:tc>
        <w:tc>
          <w:tcPr>
            <w:tcW w:type="dxa" w:w="2266"/>
            <w:shd w:val="clear" w:color="auto" w:fill="EEF3FA"/>
          </w:tcPr>
          <w:p>
            <w:pPr>
              <w:jc w:val="center"/>
            </w:pPr>
            <w:r>
              <w:rPr>
                <w:rFonts w:ascii="Calibri" w:hAnsi="Calibri"/>
                <w:sz w:val="19"/>
              </w:rPr>
              <w:t>First mover (est. 2026+)</w:t>
            </w:r>
          </w:p>
        </w:tc>
        <w:tc>
          <w:tcPr>
            <w:tcW w:type="dxa" w:w="2266"/>
            <w:shd w:val="clear" w:color="auto" w:fill="EEF3FA"/>
          </w:tcPr>
          <w:p>
            <w:pPr>
              <w:jc w:val="center"/>
            </w:pPr>
            <w:r>
              <w:rPr>
                <w:rFonts w:ascii="Calibri" w:hAnsi="Calibri"/>
                <w:sz w:val="19"/>
              </w:rPr>
              <w:t>10–20 years</w:t>
            </w:r>
          </w:p>
        </w:tc>
        <w:tc>
          <w:tcPr>
            <w:tcW w:type="dxa" w:w="2266"/>
            <w:shd w:val="clear" w:color="auto" w:fill="EEF3FA"/>
          </w:tcPr>
          <w:p>
            <w:pPr>
              <w:jc w:val="center"/>
            </w:pPr>
            <w:r>
              <w:rPr>
                <w:rFonts w:ascii="Calibri" w:hAnsi="Calibri"/>
                <w:sz w:val="19"/>
              </w:rPr>
              <w:t>GDP + talent competition</w:t>
            </w:r>
          </w:p>
        </w:tc>
      </w:tr>
    </w:tbl>
    <w:p>
      <w:pPr>
        <w:spacing w:after="60"/>
      </w:pPr>
    </w:p>
    <w:p>
      <w:r>
        <w:br w:type="page"/>
      </w:r>
    </w:p>
    <w:p>
      <w:pPr>
        <w:spacing w:before="200" w:after="100"/>
        <w:jc w:val="left"/>
      </w:pPr>
      <w:r>
        <w:rPr>
          <w:rFonts w:ascii="Calibri" w:hAnsi="Calibri"/>
          <w:b/>
          <w:color w:val="1A375E"/>
          <w:sz w:val="36"/>
        </w:rPr>
        <w:t>4.  Regional Geopolitical Dynamics</w:t>
      </w:r>
    </w:p>
    <w:p>
      <w:pPr>
        <w:spacing w:before="80" w:after="80"/>
        <w:pBdr>
          <w:bottom w:val="single" w:sz="6" w:space="1" w:color="007A87"/>
        </w:pBdr>
      </w:pPr>
    </w:p>
    <w:p>
      <w:pPr>
        <w:spacing w:before="200" w:after="100"/>
        <w:jc w:val="left"/>
      </w:pPr>
      <w:r>
        <w:rPr>
          <w:rFonts w:ascii="Calibri" w:hAnsi="Calibri"/>
          <w:b/>
          <w:color w:val="007A87"/>
          <w:sz w:val="28"/>
        </w:rPr>
        <w:t>4.1  European Union — Natural First Mover</w:t>
      </w:r>
    </w:p>
    <w:p>
      <w:pPr>
        <w:spacing w:after="100" w:before="0"/>
        <w:jc w:val="left"/>
      </w:pPr>
      <w:r>
        <w:rPr>
          <w:rFonts w:ascii="Calibri" w:hAnsi="Calibri"/>
          <w:b w:val="0"/>
          <w:i w:val="0"/>
          <w:sz w:val="21"/>
        </w:rPr>
        <w:t>The EU is the most likely first-mover for three structural reasons:</w:t>
      </w:r>
    </w:p>
    <w:p>
      <w:pPr>
        <w:pStyle w:val="ListBullet"/>
        <w:spacing w:after="60" w:before="20"/>
        <w:ind w:left="454"/>
      </w:pPr>
      <w:r>
        <w:rPr>
          <w:rFonts w:ascii="Calibri" w:hAnsi="Calibri"/>
          <w:sz w:val="21"/>
        </w:rPr>
        <w:t>Existing institutional framework for cross-border social policy (Social Charter, ESF)</w:t>
      </w:r>
    </w:p>
    <w:p>
      <w:pPr>
        <w:pStyle w:val="ListBullet"/>
        <w:spacing w:after="60" w:before="20"/>
        <w:ind w:left="454"/>
      </w:pPr>
      <w:r>
        <w:rPr>
          <w:rFonts w:ascii="Calibri" w:hAnsi="Calibri"/>
          <w:sz w:val="21"/>
        </w:rPr>
        <w:t>Strong tradition of social democratic governance aligned with TB principles</w:t>
      </w:r>
    </w:p>
    <w:p>
      <w:pPr>
        <w:pStyle w:val="ListBullet"/>
        <w:spacing w:after="60" w:before="20"/>
        <w:ind w:left="454"/>
      </w:pPr>
      <w:r>
        <w:rPr>
          <w:rFonts w:ascii="Calibri" w:hAnsi="Calibri"/>
          <w:sz w:val="21"/>
        </w:rPr>
        <w:t>Already implementing AI Act and discussing automation taxation (robot tax proposals since 2016)</w:t>
      </w:r>
    </w:p>
    <w:p>
      <w:pPr>
        <w:pStyle w:val="ListBullet"/>
        <w:spacing w:after="60" w:before="20"/>
        <w:ind w:left="454"/>
      </w:pPr>
      <w:r>
        <w:rPr>
          <w:rFonts w:ascii="Calibri" w:hAnsi="Calibri"/>
          <w:sz w:val="21"/>
        </w:rPr>
        <w:t>Demographic crisis (ageing population, declining workforce) makes TB's FreeOne→Producer conversion critical</w:t>
      </w:r>
    </w:p>
    <w:p>
      <w:pPr>
        <w:spacing w:after="100" w:before="0"/>
        <w:jc w:val="left"/>
      </w:pPr>
      <w:r>
        <w:rPr>
          <w:rFonts w:ascii="Calibri" w:hAnsi="Calibri"/>
          <w:b w:val="0"/>
          <w:i w:val="0"/>
          <w:sz w:val="21"/>
        </w:rPr>
        <w:t>EU Scenario: Germany or the Nordic countries pilot TB at national level. Success triggers EU-wide adoption via the Social Progress Protocol. This immediately creates a 450-million-person TB economy — the world's largest.</w:t>
      </w:r>
    </w:p>
    <w:p>
      <w:pPr>
        <w:spacing w:before="200" w:after="100"/>
        <w:jc w:val="left"/>
      </w:pPr>
      <w:r>
        <w:rPr>
          <w:rFonts w:ascii="Calibri" w:hAnsi="Calibri"/>
          <w:b/>
          <w:color w:val="007A87"/>
          <w:sz w:val="28"/>
        </w:rPr>
        <w:t>4.2  United States — Competitive Pressure Driver</w:t>
      </w:r>
    </w:p>
    <w:p>
      <w:pPr>
        <w:spacing w:after="100" w:before="0"/>
        <w:jc w:val="left"/>
      </w:pPr>
      <w:r>
        <w:rPr>
          <w:rFonts w:ascii="Calibri" w:hAnsi="Calibri"/>
          <w:b w:val="0"/>
          <w:i w:val="0"/>
          <w:sz w:val="21"/>
        </w:rPr>
        <w:t>The US is unlikely to be a first mover (political resistance to any UBI-adjacent instrument) but will be the country most pressured by a European first mover:</w:t>
      </w:r>
    </w:p>
    <w:p>
      <w:pPr>
        <w:pStyle w:val="ListBullet"/>
        <w:spacing w:after="60" w:before="20"/>
        <w:ind w:left="454"/>
      </w:pPr>
      <w:r>
        <w:rPr>
          <w:rFonts w:ascii="Calibri" w:hAnsi="Calibri"/>
          <w:sz w:val="21"/>
        </w:rPr>
        <w:t>US tech talent, students, and entrepreneurs gain 0% capital access in EU — migration accelerates</w:t>
      </w:r>
    </w:p>
    <w:p>
      <w:pPr>
        <w:pStyle w:val="ListBullet"/>
        <w:spacing w:after="60" w:before="20"/>
        <w:ind w:left="454"/>
      </w:pPr>
      <w:r>
        <w:rPr>
          <w:rFonts w:ascii="Calibri" w:hAnsi="Calibri"/>
          <w:sz w:val="21"/>
        </w:rPr>
        <w:t>Silicon Valley automation companies face automation tax in EU; US domestic lobbying intensifies</w:t>
      </w:r>
    </w:p>
    <w:p>
      <w:pPr>
        <w:pStyle w:val="ListBullet"/>
        <w:spacing w:after="60" w:before="20"/>
        <w:ind w:left="454"/>
      </w:pPr>
      <w:r>
        <w:rPr>
          <w:rFonts w:ascii="Calibri" w:hAnsi="Calibri"/>
          <w:sz w:val="21"/>
        </w:rPr>
        <w:t>Political framing shift: TB is 'earned' and 'repayable' — aligns with American values better than UBI</w:t>
      </w:r>
    </w:p>
    <w:p>
      <w:pPr>
        <w:spacing w:after="100" w:before="0"/>
        <w:jc w:val="left"/>
      </w:pPr>
      <w:r>
        <w:rPr>
          <w:rFonts w:ascii="Calibri" w:hAnsi="Calibri"/>
          <w:b w:val="0"/>
          <w:i w:val="0"/>
          <w:sz w:val="21"/>
        </w:rPr>
        <w:t>Expected US response: State-level pilots (California, Massachusetts) before federal adoption. Timeline: 8–15 years after EU adoption.</w:t>
      </w:r>
    </w:p>
    <w:p>
      <w:pPr>
        <w:spacing w:before="200" w:after="100"/>
        <w:jc w:val="left"/>
      </w:pPr>
      <w:r>
        <w:rPr>
          <w:rFonts w:ascii="Calibri" w:hAnsi="Calibri"/>
          <w:b/>
          <w:color w:val="007A87"/>
          <w:sz w:val="28"/>
        </w:rPr>
        <w:t>4.3  China — The Authoritarian Adaptation</w:t>
      </w:r>
    </w:p>
    <w:p>
      <w:pPr>
        <w:spacing w:after="100" w:before="0"/>
        <w:jc w:val="left"/>
      </w:pPr>
      <w:r>
        <w:rPr>
          <w:rFonts w:ascii="Calibri" w:hAnsi="Calibri"/>
          <w:b w:val="0"/>
          <w:i w:val="0"/>
          <w:sz w:val="21"/>
        </w:rPr>
        <w:t>China faces the same automation displacement crisis but operates differently. A TB-like instrument would align with China's social credit and state-directed human capital investment frameworks:</w:t>
      </w:r>
    </w:p>
    <w:p>
      <w:pPr>
        <w:pStyle w:val="ListBullet"/>
        <w:spacing w:after="60" w:before="20"/>
        <w:ind w:left="454"/>
      </w:pPr>
      <w:r>
        <w:rPr>
          <w:rFonts w:ascii="Calibri" w:hAnsi="Calibri"/>
          <w:sz w:val="21"/>
        </w:rPr>
        <w:t>Likely adaptation: state-controlled TB with repayment linked to approved sectors (education, manufacturing, technology)</w:t>
      </w:r>
    </w:p>
    <w:p>
      <w:pPr>
        <w:pStyle w:val="ListBullet"/>
        <w:spacing w:after="60" w:before="20"/>
        <w:ind w:left="454"/>
      </w:pPr>
      <w:r>
        <w:rPr>
          <w:rFonts w:ascii="Calibri" w:hAnsi="Calibri"/>
          <w:sz w:val="21"/>
        </w:rPr>
        <w:t>Higher risk of abuse: eligibility conditions could be politically determined</w:t>
      </w:r>
    </w:p>
    <w:p>
      <w:pPr>
        <w:pStyle w:val="ListBullet"/>
        <w:spacing w:after="60" w:before="20"/>
        <w:ind w:left="454"/>
      </w:pPr>
      <w:r>
        <w:rPr>
          <w:rFonts w:ascii="Calibri" w:hAnsi="Calibri"/>
          <w:sz w:val="21"/>
        </w:rPr>
        <w:t>Economic effect: significant GDP boost (simulation shows 59% over 25yr) motivates adoption</w:t>
      </w:r>
    </w:p>
    <w:p>
      <w:pPr>
        <w:spacing w:after="100" w:before="0"/>
        <w:jc w:val="left"/>
      </w:pPr>
      <w:r>
        <w:rPr>
          <w:rFonts w:ascii="Calibri" w:hAnsi="Calibri"/>
          <w:b w:val="0"/>
          <w:i w:val="0"/>
          <w:sz w:val="21"/>
        </w:rPr>
        <w:t>China's adoption — even in an authoritarian form — would add massive legitimacy to the concept globally and accelerate adoption in developing nations aligned with the Belt and Road Initiative.</w:t>
      </w:r>
    </w:p>
    <w:p>
      <w:pPr>
        <w:spacing w:before="200" w:after="100"/>
        <w:jc w:val="left"/>
      </w:pPr>
      <w:r>
        <w:rPr>
          <w:rFonts w:ascii="Calibri" w:hAnsi="Calibri"/>
          <w:b/>
          <w:color w:val="007A87"/>
          <w:sz w:val="28"/>
        </w:rPr>
        <w:t>4.4  Developing Nations — The Leapfrog Opportunity</w:t>
      </w:r>
    </w:p>
    <w:p>
      <w:pPr>
        <w:spacing w:after="100" w:before="0"/>
        <w:jc w:val="left"/>
      </w:pPr>
      <w:r>
        <w:rPr>
          <w:rFonts w:ascii="Calibri" w:hAnsi="Calibri"/>
          <w:b w:val="0"/>
          <w:i w:val="0"/>
          <w:sz w:val="21"/>
        </w:rPr>
        <w:t>For developing nations, TB offers a rare leapfrog opportunity — the ability to build a modern social infrastructure without first building the 20th-century welfare state. Just as mobile phones allowed leapfrogging landline infrastructure, TB allows leapfrogging the entire welfare bureaucracy:</w:t>
      </w:r>
    </w:p>
    <w:p>
      <w:pPr>
        <w:pStyle w:val="ListBullet"/>
        <w:spacing w:after="60" w:before="20"/>
        <w:ind w:left="454"/>
      </w:pPr>
      <w:r>
        <w:rPr>
          <w:rFonts w:ascii="Calibri" w:hAnsi="Calibri"/>
          <w:sz w:val="21"/>
        </w:rPr>
        <w:t>No existing welfare system to protect → zero implementation friction</w:t>
      </w:r>
    </w:p>
    <w:p>
      <w:pPr>
        <w:pStyle w:val="ListBullet"/>
        <w:spacing w:after="60" w:before="20"/>
        <w:ind w:left="454"/>
      </w:pPr>
      <w:r>
        <w:rPr>
          <w:rFonts w:ascii="Calibri" w:hAnsi="Calibri"/>
          <w:sz w:val="21"/>
        </w:rPr>
        <w:t>Large informal economy → TB reaches citizens banks cannot reach</w:t>
      </w:r>
    </w:p>
    <w:p>
      <w:pPr>
        <w:pStyle w:val="ListBullet"/>
        <w:spacing w:after="60" w:before="20"/>
        <w:ind w:left="454"/>
      </w:pPr>
      <w:r>
        <w:rPr>
          <w:rFonts w:ascii="Calibri" w:hAnsi="Calibri"/>
          <w:sz w:val="21"/>
        </w:rPr>
        <w:t>High proportion of youth (FreeOne category) → TB's education ROI is highest</w:t>
      </w:r>
    </w:p>
    <w:p>
      <w:pPr>
        <w:pStyle w:val="ListBullet"/>
        <w:spacing w:after="60" w:before="20"/>
        <w:ind w:left="454"/>
      </w:pPr>
      <w:r>
        <w:rPr>
          <w:rFonts w:ascii="Calibri" w:hAnsi="Calibri"/>
          <w:sz w:val="21"/>
        </w:rPr>
        <w:t>Low automation currently → pool starts small but grows with investment attraction</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Rwanda, Estonia, and Singapore are historically identified as 'innovation-first' policy adopters. Any of these could run a national TB pilot within 2 years of the framework being published — and generate proof-of-concept at the national level before larger economies commit.</w:t>
            </w:r>
          </w:p>
        </w:tc>
      </w:tr>
    </w:tbl>
    <w:p>
      <w:pPr>
        <w:spacing w:after="60"/>
      </w:pPr>
    </w:p>
    <w:p>
      <w:r>
        <w:br w:type="page"/>
      </w:r>
    </w:p>
    <w:p>
      <w:pPr>
        <w:spacing w:before="200" w:after="100"/>
        <w:jc w:val="left"/>
      </w:pPr>
      <w:r>
        <w:rPr>
          <w:rFonts w:ascii="Calibri" w:hAnsi="Calibri"/>
          <w:b/>
          <w:color w:val="1A375E"/>
          <w:sz w:val="36"/>
        </w:rPr>
        <w:t>5.  How Will Corporations Respond?</w:t>
      </w:r>
    </w:p>
    <w:p>
      <w:pPr>
        <w:spacing w:before="80" w:after="80"/>
        <w:pBdr>
          <w:bottom w:val="single" w:sz="6" w:space="1" w:color="007A87"/>
        </w:pBdr>
      </w:pPr>
    </w:p>
    <w:p>
      <w:pPr>
        <w:spacing w:before="200" w:after="100"/>
        <w:jc w:val="left"/>
      </w:pPr>
      <w:r>
        <w:rPr>
          <w:rFonts w:ascii="Calibri" w:hAnsi="Calibri"/>
          <w:b/>
          <w:color w:val="007A87"/>
          <w:sz w:val="28"/>
        </w:rPr>
        <w:t>5.1  Technology Companies — The Central Actors</w:t>
      </w:r>
    </w:p>
    <w:p>
      <w:pPr>
        <w:spacing w:after="100" w:before="0"/>
        <w:jc w:val="left"/>
      </w:pPr>
      <w:r>
        <w:rPr>
          <w:rFonts w:ascii="Calibri" w:hAnsi="Calibri"/>
          <w:b w:val="0"/>
          <w:i w:val="0"/>
          <w:sz w:val="21"/>
        </w:rPr>
        <w:t>Technology companies are simultaneously the primary funders of TB (via automation tax) and the primary beneficiaries of the human capital TB creates (more skilled workers). Their strategic position is more nuanced than simple opposition: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Company Type</w:t>
            </w:r>
          </w:p>
        </w:tc>
        <w:tc>
          <w:tcPr>
            <w:tcW w:type="dxa" w:w="2266"/>
            <w:shd w:val="clear" w:color="auto" w:fill="1A375E"/>
          </w:tcPr>
          <w:p>
            <w:pPr>
              <w:jc w:val="center"/>
            </w:pPr>
            <w:r>
              <w:rPr>
                <w:rFonts w:ascii="Calibri" w:hAnsi="Calibri"/>
                <w:b/>
                <w:color w:val="FFFFFF"/>
                <w:sz w:val="19"/>
              </w:rPr>
              <w:t>Initial Reaction</w:t>
            </w:r>
          </w:p>
        </w:tc>
        <w:tc>
          <w:tcPr>
            <w:tcW w:type="dxa" w:w="2266"/>
            <w:shd w:val="clear" w:color="auto" w:fill="1A375E"/>
          </w:tcPr>
          <w:p>
            <w:pPr>
              <w:jc w:val="center"/>
            </w:pPr>
            <w:r>
              <w:rPr>
                <w:rFonts w:ascii="Calibri" w:hAnsi="Calibri"/>
                <w:b/>
                <w:color w:val="FFFFFF"/>
                <w:sz w:val="19"/>
              </w:rPr>
              <w:t>Long-run Incentive</w:t>
            </w:r>
          </w:p>
        </w:tc>
        <w:tc>
          <w:tcPr>
            <w:tcW w:type="dxa" w:w="2266"/>
            <w:shd w:val="clear" w:color="auto" w:fill="1A375E"/>
          </w:tcPr>
          <w:p>
            <w:pPr>
              <w:jc w:val="center"/>
            </w:pPr>
            <w:r>
              <w:rPr>
                <w:rFonts w:ascii="Calibri" w:hAnsi="Calibri"/>
                <w:b/>
                <w:color w:val="FFFFFF"/>
                <w:sz w:val="19"/>
              </w:rPr>
              <w:t>Likely Position</w:t>
            </w:r>
          </w:p>
        </w:tc>
      </w:tr>
      <w:tr>
        <w:tc>
          <w:tcPr>
            <w:tcW w:type="dxa" w:w="2266"/>
          </w:tcPr>
          <w:p>
            <w:pPr>
              <w:jc w:val="left"/>
            </w:pPr>
            <w:r>
              <w:rPr>
                <w:rFonts w:ascii="Calibri" w:hAnsi="Calibri"/>
                <w:sz w:val="19"/>
              </w:rPr>
              <w:t>AI Platform Companies</w:t>
              <w:br/>
              <w:t>(compute-heavy)</w:t>
            </w:r>
          </w:p>
        </w:tc>
        <w:tc>
          <w:tcPr>
            <w:tcW w:type="dxa" w:w="2266"/>
          </w:tcPr>
          <w:p>
            <w:pPr>
              <w:jc w:val="center"/>
            </w:pPr>
            <w:r>
              <w:rPr>
                <w:rFonts w:ascii="Calibri" w:hAnsi="Calibri"/>
                <w:sz w:val="19"/>
              </w:rPr>
              <w:t>Oppose — 15% tax on output is significant cost</w:t>
            </w:r>
          </w:p>
        </w:tc>
        <w:tc>
          <w:tcPr>
            <w:tcW w:type="dxa" w:w="2266"/>
          </w:tcPr>
          <w:p>
            <w:pPr>
              <w:jc w:val="center"/>
            </w:pPr>
            <w:r>
              <w:rPr>
                <w:rFonts w:ascii="Calibri" w:hAnsi="Calibri"/>
                <w:sz w:val="19"/>
              </w:rPr>
              <w:t>Support — TB-educated workforce reduces hiring costs; more consumers</w:t>
            </w:r>
          </w:p>
        </w:tc>
        <w:tc>
          <w:tcPr>
            <w:tcW w:type="dxa" w:w="2266"/>
          </w:tcPr>
          <w:p>
            <w:pPr>
              <w:jc w:val="center"/>
            </w:pPr>
            <w:r>
              <w:rPr>
                <w:rFonts w:ascii="Calibri" w:hAnsi="Calibri"/>
                <w:sz w:val="19"/>
              </w:rPr>
              <w:t>Opposition then acceptance</w:t>
            </w:r>
          </w:p>
        </w:tc>
      </w:tr>
      <w:tr>
        <w:tc>
          <w:tcPr>
            <w:tcW w:type="dxa" w:w="2266"/>
            <w:shd w:val="clear" w:color="auto" w:fill="EEF3FA"/>
          </w:tcPr>
          <w:p>
            <w:pPr>
              <w:jc w:val="left"/>
            </w:pPr>
            <w:r>
              <w:rPr>
                <w:rFonts w:ascii="Calibri" w:hAnsi="Calibri"/>
                <w:sz w:val="19"/>
              </w:rPr>
              <w:t>Enterprise Automation</w:t>
            </w:r>
          </w:p>
        </w:tc>
        <w:tc>
          <w:tcPr>
            <w:tcW w:type="dxa" w:w="2266"/>
            <w:shd w:val="clear" w:color="auto" w:fill="EEF3FA"/>
          </w:tcPr>
          <w:p>
            <w:pPr>
              <w:jc w:val="center"/>
            </w:pPr>
            <w:r>
              <w:rPr>
                <w:rFonts w:ascii="Calibri" w:hAnsi="Calibri"/>
                <w:sz w:val="19"/>
              </w:rPr>
              <w:t>Oppose — direct tax liability on core product</w:t>
            </w:r>
          </w:p>
        </w:tc>
        <w:tc>
          <w:tcPr>
            <w:tcW w:type="dxa" w:w="2266"/>
            <w:shd w:val="clear" w:color="auto" w:fill="EEF3FA"/>
          </w:tcPr>
          <w:p>
            <w:pPr>
              <w:jc w:val="center"/>
            </w:pPr>
            <w:r>
              <w:rPr>
                <w:rFonts w:ascii="Calibri" w:hAnsi="Calibri"/>
                <w:sz w:val="19"/>
              </w:rPr>
              <w:t>Support — stable societies = stable markets = long-term customers</w:t>
            </w:r>
          </w:p>
        </w:tc>
        <w:tc>
          <w:tcPr>
            <w:tcW w:type="dxa" w:w="2266"/>
            <w:shd w:val="clear" w:color="auto" w:fill="EEF3FA"/>
          </w:tcPr>
          <w:p>
            <w:pPr>
              <w:jc w:val="center"/>
            </w:pPr>
            <w:r>
              <w:rPr>
                <w:rFonts w:ascii="Calibri" w:hAnsi="Calibri"/>
                <w:sz w:val="19"/>
              </w:rPr>
              <w:t>Lobby for lower rate (5–10%)</w:t>
            </w:r>
          </w:p>
        </w:tc>
      </w:tr>
      <w:tr>
        <w:tc>
          <w:tcPr>
            <w:tcW w:type="dxa" w:w="2266"/>
          </w:tcPr>
          <w:p>
            <w:pPr>
              <w:jc w:val="left"/>
            </w:pPr>
            <w:r>
              <w:rPr>
                <w:rFonts w:ascii="Calibri" w:hAnsi="Calibri"/>
                <w:sz w:val="19"/>
              </w:rPr>
              <w:t>Tech startups</w:t>
            </w:r>
          </w:p>
        </w:tc>
        <w:tc>
          <w:tcPr>
            <w:tcW w:type="dxa" w:w="2266"/>
          </w:tcPr>
          <w:p>
            <w:pPr>
              <w:jc w:val="center"/>
            </w:pPr>
            <w:r>
              <w:rPr>
                <w:rFonts w:ascii="Calibri" w:hAnsi="Calibri"/>
                <w:sz w:val="19"/>
              </w:rPr>
              <w:t>Neutral — mostly exempt at small scale</w:t>
            </w:r>
          </w:p>
        </w:tc>
        <w:tc>
          <w:tcPr>
            <w:tcW w:type="dxa" w:w="2266"/>
          </w:tcPr>
          <w:p>
            <w:pPr>
              <w:jc w:val="center"/>
            </w:pPr>
            <w:r>
              <w:rPr>
                <w:rFonts w:ascii="Calibri" w:hAnsi="Calibri"/>
                <w:sz w:val="19"/>
              </w:rPr>
              <w:t>Strong support — TB funds their customers and future employees</w:t>
            </w:r>
          </w:p>
        </w:tc>
        <w:tc>
          <w:tcPr>
            <w:tcW w:type="dxa" w:w="2266"/>
          </w:tcPr>
          <w:p>
            <w:pPr>
              <w:jc w:val="center"/>
            </w:pPr>
            <w:r>
              <w:rPr>
                <w:rFonts w:ascii="Calibri" w:hAnsi="Calibri"/>
                <w:sz w:val="19"/>
              </w:rPr>
              <w:t>Advocate for adoption</w:t>
            </w:r>
          </w:p>
        </w:tc>
      </w:tr>
      <w:tr>
        <w:tc>
          <w:tcPr>
            <w:tcW w:type="dxa" w:w="2266"/>
            <w:shd w:val="clear" w:color="auto" w:fill="EEF3FA"/>
          </w:tcPr>
          <w:p>
            <w:pPr>
              <w:jc w:val="left"/>
            </w:pPr>
            <w:r>
              <w:rPr>
                <w:rFonts w:ascii="Calibri" w:hAnsi="Calibri"/>
                <w:sz w:val="19"/>
              </w:rPr>
              <w:t>Traditional manufacturers</w:t>
            </w:r>
          </w:p>
        </w:tc>
        <w:tc>
          <w:tcPr>
            <w:tcW w:type="dxa" w:w="2266"/>
            <w:shd w:val="clear" w:color="auto" w:fill="EEF3FA"/>
          </w:tcPr>
          <w:p>
            <w:pPr>
              <w:jc w:val="center"/>
            </w:pPr>
            <w:r>
              <w:rPr>
                <w:rFonts w:ascii="Calibri" w:hAnsi="Calibri"/>
                <w:sz w:val="19"/>
              </w:rPr>
              <w:t>Support — automation tax levels playing field vs pure-AI rivals</w:t>
            </w:r>
          </w:p>
        </w:tc>
        <w:tc>
          <w:tcPr>
            <w:tcW w:type="dxa" w:w="2266"/>
            <w:shd w:val="clear" w:color="auto" w:fill="EEF3FA"/>
          </w:tcPr>
          <w:p>
            <w:pPr>
              <w:jc w:val="center"/>
            </w:pPr>
            <w:r>
              <w:rPr>
                <w:rFonts w:ascii="Calibri" w:hAnsi="Calibri"/>
                <w:sz w:val="19"/>
              </w:rPr>
              <w:t>Support — TB retrains their displaced workers reducing social cost</w:t>
            </w:r>
          </w:p>
        </w:tc>
        <w:tc>
          <w:tcPr>
            <w:tcW w:type="dxa" w:w="2266"/>
            <w:shd w:val="clear" w:color="auto" w:fill="EEF3FA"/>
          </w:tcPr>
          <w:p>
            <w:pPr>
              <w:jc w:val="center"/>
            </w:pPr>
            <w:r>
              <w:rPr>
                <w:rFonts w:ascii="Calibri" w:hAnsi="Calibri"/>
                <w:sz w:val="19"/>
              </w:rPr>
              <w:t>Active supporters</w:t>
            </w:r>
          </w:p>
        </w:tc>
      </w:tr>
      <w:tr>
        <w:tc>
          <w:tcPr>
            <w:tcW w:type="dxa" w:w="2266"/>
          </w:tcPr>
          <w:p>
            <w:pPr>
              <w:jc w:val="left"/>
            </w:pPr>
            <w:r>
              <w:rPr>
                <w:rFonts w:ascii="Calibri" w:hAnsi="Calibri"/>
                <w:sz w:val="19"/>
              </w:rPr>
              <w:t>Financial sector</w:t>
            </w:r>
          </w:p>
        </w:tc>
        <w:tc>
          <w:tcPr>
            <w:tcW w:type="dxa" w:w="2266"/>
          </w:tcPr>
          <w:p>
            <w:pPr>
              <w:jc w:val="center"/>
            </w:pPr>
            <w:r>
              <w:rPr>
                <w:rFonts w:ascii="Calibri" w:hAnsi="Calibri"/>
                <w:sz w:val="19"/>
              </w:rPr>
              <w:t>Oppose — TB replaces some student loan and SME loan market</w:t>
            </w:r>
          </w:p>
        </w:tc>
        <w:tc>
          <w:tcPr>
            <w:tcW w:type="dxa" w:w="2266"/>
          </w:tcPr>
          <w:p>
            <w:pPr>
              <w:jc w:val="center"/>
            </w:pPr>
            <w:r>
              <w:rPr>
                <w:rFonts w:ascii="Calibri" w:hAnsi="Calibri"/>
                <w:sz w:val="19"/>
              </w:rPr>
              <w:t>Adapt — manage TB accounts, offer complementary products</w:t>
            </w:r>
          </w:p>
        </w:tc>
        <w:tc>
          <w:tcPr>
            <w:tcW w:type="dxa" w:w="2266"/>
          </w:tcPr>
          <w:p>
            <w:pPr>
              <w:jc w:val="center"/>
            </w:pPr>
            <w:r>
              <w:rPr>
                <w:rFonts w:ascii="Calibri" w:hAnsi="Calibri"/>
                <w:sz w:val="19"/>
              </w:rPr>
              <w:t>Adapt and co-opt</w:t>
            </w:r>
          </w:p>
        </w:tc>
      </w:tr>
    </w:tbl>
    <w:p>
      <w:pPr>
        <w:spacing w:after="60"/>
      </w:pPr>
    </w:p>
    <w:p>
      <w:pPr>
        <w:spacing w:before="200" w:after="100"/>
        <w:jc w:val="left"/>
      </w:pPr>
      <w:r>
        <w:rPr>
          <w:rFonts w:ascii="Calibri" w:hAnsi="Calibri"/>
          <w:b/>
          <w:color w:val="007A87"/>
          <w:sz w:val="28"/>
        </w:rPr>
        <w:t>5.2  Automation Offshoring — Is It a Real Threat?</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The most common corporate objection: 'We will just move our AI servers to a country without TB tax.' This argument fails for four reasons:</w:t>
            </w:r>
          </w:p>
        </w:tc>
      </w:tr>
    </w:tbl>
    <w:p>
      <w:pPr>
        <w:spacing w:after="60"/>
      </w:pPr>
    </w:p>
    <w:p>
      <w:pPr>
        <w:pStyle w:val="ListBullet"/>
        <w:spacing w:after="60" w:before="20"/>
        <w:ind w:left="454"/>
      </w:pPr>
      <w:r>
        <w:rPr>
          <w:rFonts w:ascii="Calibri" w:hAnsi="Calibri"/>
          <w:sz w:val="21"/>
        </w:rPr>
        <w:t>Latency and regulation: AI serving local customers must be locally hosted in most jurisdictions (GDPR, AI Act)</w:t>
      </w:r>
    </w:p>
    <w:p>
      <w:pPr>
        <w:pStyle w:val="ListBullet"/>
        <w:spacing w:after="60" w:before="20"/>
        <w:ind w:left="454"/>
      </w:pPr>
      <w:r>
        <w:rPr>
          <w:rFonts w:ascii="Calibri" w:hAnsi="Calibri"/>
          <w:sz w:val="21"/>
        </w:rPr>
        <w:t>Talent access: Automation that serves TB-economy customers needs TB-educated engineers to maintain it</w:t>
      </w:r>
    </w:p>
    <w:p>
      <w:pPr>
        <w:pStyle w:val="ListBullet"/>
        <w:spacing w:after="60" w:before="20"/>
        <w:ind w:left="454"/>
      </w:pPr>
      <w:r>
        <w:rPr>
          <w:rFonts w:ascii="Calibri" w:hAnsi="Calibri"/>
          <w:sz w:val="21"/>
        </w:rPr>
        <w:t>Market access: Companies cannot exclude themselves from a 59%-larger GDP market to save 15% on automation</w:t>
      </w:r>
    </w:p>
    <w:p>
      <w:pPr>
        <w:pStyle w:val="ListBullet"/>
        <w:spacing w:after="60" w:before="20"/>
        <w:ind w:left="454"/>
      </w:pPr>
      <w:r>
        <w:rPr>
          <w:rFonts w:ascii="Calibri" w:hAnsi="Calibri"/>
          <w:sz w:val="21"/>
        </w:rPr>
        <w:t>Race to productivity: Competing companies in TB countries will be 50% more productive — offshoring costs more in lost competition than the 15% tax saves</w:t>
      </w:r>
    </w:p>
    <w:p>
      <w:r>
        <w:br w:type="page"/>
      </w:r>
    </w:p>
    <w:p>
      <w:pPr>
        <w:spacing w:before="200" w:after="100"/>
        <w:jc w:val="left"/>
      </w:pPr>
      <w:r>
        <w:rPr>
          <w:rFonts w:ascii="Calibri" w:hAnsi="Calibri"/>
          <w:b/>
          <w:color w:val="1A375E"/>
          <w:sz w:val="36"/>
        </w:rPr>
        <w:t>6.  The Path to International Coordination</w:t>
      </w:r>
    </w:p>
    <w:p>
      <w:pPr>
        <w:spacing w:before="80" w:after="80"/>
        <w:pBdr>
          <w:bottom w:val="single" w:sz="6" w:space="1" w:color="007A87"/>
        </w:pBdr>
      </w:pPr>
    </w:p>
    <w:p>
      <w:pPr>
        <w:spacing w:after="100" w:before="0"/>
        <w:jc w:val="left"/>
      </w:pPr>
      <w:r>
        <w:rPr>
          <w:rFonts w:ascii="Calibri" w:hAnsi="Calibri"/>
          <w:b w:val="0"/>
          <w:i w:val="0"/>
          <w:sz w:val="21"/>
        </w:rPr>
        <w:t>The game theory analysis shows that uncoordinated adoption leads to instability (automation tax arbitrage). The stable long-run solution is international coordination through a binding treaty framework.</w:t>
      </w:r>
    </w:p>
    <w:p>
      <w:pPr>
        <w:spacing w:before="200" w:after="100"/>
        <w:jc w:val="left"/>
      </w:pPr>
      <w:r>
        <w:rPr>
          <w:rFonts w:ascii="Calibri" w:hAnsi="Calibri"/>
          <w:b/>
          <w:color w:val="007A87"/>
          <w:sz w:val="28"/>
        </w:rPr>
        <w:t>6.1  Proposed OECD Time Borrowing Framework</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5B2D8E"/>
          </w:tcPr>
          <w:p>
            <w:pPr>
              <w:jc w:val="center"/>
            </w:pPr>
            <w:r>
              <w:rPr>
                <w:rFonts w:ascii="Calibri" w:hAnsi="Calibri"/>
                <w:b/>
                <w:color w:val="FFFFFF"/>
                <w:sz w:val="19"/>
              </w:rPr>
              <w:t>Element</w:t>
            </w:r>
          </w:p>
        </w:tc>
        <w:tc>
          <w:tcPr>
            <w:tcW w:type="dxa" w:w="4533"/>
            <w:shd w:val="clear" w:color="auto" w:fill="5B2D8E"/>
          </w:tcPr>
          <w:p>
            <w:pPr>
              <w:jc w:val="center"/>
            </w:pPr>
            <w:r>
              <w:rPr>
                <w:rFonts w:ascii="Calibri" w:hAnsi="Calibri"/>
                <w:b/>
                <w:color w:val="FFFFFF"/>
                <w:sz w:val="19"/>
              </w:rPr>
              <w:t>Proposed Terms</w:t>
            </w:r>
          </w:p>
        </w:tc>
      </w:tr>
      <w:tr>
        <w:tc>
          <w:tcPr>
            <w:tcW w:type="dxa" w:w="4533"/>
          </w:tcPr>
          <w:p>
            <w:pPr>
              <w:jc w:val="left"/>
            </w:pPr>
            <w:r>
              <w:rPr>
                <w:rFonts w:ascii="Calibri" w:hAnsi="Calibri"/>
                <w:sz w:val="19"/>
              </w:rPr>
              <w:t>Minimum automation tax</w:t>
            </w:r>
          </w:p>
        </w:tc>
        <w:tc>
          <w:tcPr>
            <w:tcW w:type="dxa" w:w="4533"/>
          </w:tcPr>
          <w:p>
            <w:pPr>
              <w:jc w:val="center"/>
            </w:pPr>
            <w:r>
              <w:rPr>
                <w:rFonts w:ascii="Calibri" w:hAnsi="Calibri"/>
                <w:sz w:val="19"/>
              </w:rPr>
              <w:t>15% of automation output value — binding floor (same structure as OECD Pillar Two corporate tax minimum)</w:t>
            </w:r>
          </w:p>
        </w:tc>
      </w:tr>
      <w:tr>
        <w:tc>
          <w:tcPr>
            <w:tcW w:type="dxa" w:w="4533"/>
            <w:shd w:val="clear" w:color="auto" w:fill="EEF3FA"/>
          </w:tcPr>
          <w:p>
            <w:pPr>
              <w:jc w:val="left"/>
            </w:pPr>
            <w:r>
              <w:rPr>
                <w:rFonts w:ascii="Calibri" w:hAnsi="Calibri"/>
                <w:sz w:val="19"/>
              </w:rPr>
              <w:t>TB Pool standards</w:t>
            </w:r>
          </w:p>
        </w:tc>
        <w:tc>
          <w:tcPr>
            <w:tcW w:type="dxa" w:w="4533"/>
            <w:shd w:val="clear" w:color="auto" w:fill="EEF3FA"/>
          </w:tcPr>
          <w:p>
            <w:pPr>
              <w:jc w:val="center"/>
            </w:pPr>
            <w:r>
              <w:rPr>
                <w:rFonts w:ascii="Calibri" w:hAnsi="Calibri"/>
                <w:sz w:val="19"/>
              </w:rPr>
              <w:t>National pools with common eligibility, advance, and TDRW rules — enabling cross-border TB portability</w:t>
            </w:r>
          </w:p>
        </w:tc>
      </w:tr>
      <w:tr>
        <w:tc>
          <w:tcPr>
            <w:tcW w:type="dxa" w:w="4533"/>
          </w:tcPr>
          <w:p>
            <w:pPr>
              <w:jc w:val="left"/>
            </w:pPr>
            <w:r>
              <w:rPr>
                <w:rFonts w:ascii="Calibri" w:hAnsi="Calibri"/>
                <w:sz w:val="19"/>
              </w:rPr>
              <w:t>Cross-border repayment</w:t>
            </w:r>
          </w:p>
        </w:tc>
        <w:tc>
          <w:tcPr>
            <w:tcW w:type="dxa" w:w="4533"/>
          </w:tcPr>
          <w:p>
            <w:pPr>
              <w:jc w:val="center"/>
            </w:pPr>
            <w:r>
              <w:rPr>
                <w:rFonts w:ascii="Calibri" w:hAnsi="Calibri"/>
                <w:sz w:val="19"/>
              </w:rPr>
              <w:t>Citizens who migrate carry TB obligations — repayment follows the person, not the country</w:t>
            </w:r>
          </w:p>
        </w:tc>
      </w:tr>
      <w:tr>
        <w:tc>
          <w:tcPr>
            <w:tcW w:type="dxa" w:w="4533"/>
            <w:shd w:val="clear" w:color="auto" w:fill="EEF3FA"/>
          </w:tcPr>
          <w:p>
            <w:pPr>
              <w:jc w:val="left"/>
            </w:pPr>
            <w:r>
              <w:rPr>
                <w:rFonts w:ascii="Calibri" w:hAnsi="Calibri"/>
                <w:sz w:val="19"/>
              </w:rPr>
              <w:t>Brain drain compensation</w:t>
            </w:r>
          </w:p>
        </w:tc>
        <w:tc>
          <w:tcPr>
            <w:tcW w:type="dxa" w:w="4533"/>
            <w:shd w:val="clear" w:color="auto" w:fill="EEF3FA"/>
          </w:tcPr>
          <w:p>
            <w:pPr>
              <w:jc w:val="center"/>
            </w:pPr>
            <w:r>
              <w:rPr>
                <w:rFonts w:ascii="Calibri" w:hAnsi="Calibri"/>
                <w:sz w:val="19"/>
              </w:rPr>
              <w:t>Receiving countries contribute to exporting country's pool when TB-migrants arrive (migration dividend)</w:t>
            </w:r>
          </w:p>
        </w:tc>
      </w:tr>
      <w:tr>
        <w:tc>
          <w:tcPr>
            <w:tcW w:type="dxa" w:w="4533"/>
          </w:tcPr>
          <w:p>
            <w:pPr>
              <w:jc w:val="left"/>
            </w:pPr>
            <w:r>
              <w:rPr>
                <w:rFonts w:ascii="Calibri" w:hAnsi="Calibri"/>
                <w:sz w:val="19"/>
              </w:rPr>
              <w:t>Dispute resolution</w:t>
            </w:r>
          </w:p>
        </w:tc>
        <w:tc>
          <w:tcPr>
            <w:tcW w:type="dxa" w:w="4533"/>
          </w:tcPr>
          <w:p>
            <w:pPr>
              <w:jc w:val="center"/>
            </w:pPr>
            <w:r>
              <w:rPr>
                <w:rFonts w:ascii="Calibri" w:hAnsi="Calibri"/>
                <w:sz w:val="19"/>
              </w:rPr>
              <w:t>OECD Arbitration Panel for automation output valuation disputes</w:t>
            </w:r>
          </w:p>
        </w:tc>
      </w:tr>
      <w:tr>
        <w:tc>
          <w:tcPr>
            <w:tcW w:type="dxa" w:w="4533"/>
            <w:shd w:val="clear" w:color="auto" w:fill="EEF3FA"/>
          </w:tcPr>
          <w:p>
            <w:pPr>
              <w:jc w:val="left"/>
            </w:pPr>
            <w:r>
              <w:rPr>
                <w:rFonts w:ascii="Calibri" w:hAnsi="Calibri"/>
                <w:sz w:val="19"/>
              </w:rPr>
              <w:t>Reporting standards</w:t>
            </w:r>
          </w:p>
        </w:tc>
        <w:tc>
          <w:tcPr>
            <w:tcW w:type="dxa" w:w="4533"/>
            <w:shd w:val="clear" w:color="auto" w:fill="EEF3FA"/>
          </w:tcPr>
          <w:p>
            <w:pPr>
              <w:jc w:val="center"/>
            </w:pPr>
            <w:r>
              <w:rPr>
                <w:rFonts w:ascii="Calibri" w:hAnsi="Calibri"/>
                <w:sz w:val="19"/>
              </w:rPr>
              <w:t>Annual OECD TB Index: pool solvency, GDP premium, inequality impact</w:t>
            </w:r>
          </w:p>
        </w:tc>
      </w:tr>
    </w:tbl>
    <w:p>
      <w:pPr>
        <w:spacing w:after="60"/>
      </w:pPr>
    </w:p>
    <w:p>
      <w:pPr>
        <w:spacing w:before="200" w:after="100"/>
        <w:jc w:val="left"/>
      </w:pPr>
      <w:r>
        <w:rPr>
          <w:rFonts w:ascii="Calibri" w:hAnsi="Calibri"/>
          <w:b/>
          <w:color w:val="007A87"/>
          <w:sz w:val="28"/>
        </w:rPr>
        <w:t>6.2  The Strategic Game With Coordination</w:t>
      </w:r>
    </w:p>
    <w:p>
      <w:pPr>
        <w:spacing w:after="100" w:before="0"/>
        <w:jc w:val="left"/>
      </w:pPr>
      <w:r>
        <w:rPr>
          <w:rFonts w:ascii="Calibri" w:hAnsi="Calibri"/>
          <w:b w:val="0"/>
          <w:i w:val="0"/>
          <w:sz w:val="21"/>
        </w:rPr>
        <w:t>With an OECD TB Treaty, the game changes: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Scenario</w:t>
            </w:r>
          </w:p>
        </w:tc>
        <w:tc>
          <w:tcPr>
            <w:tcW w:type="dxa" w:w="3022"/>
            <w:shd w:val="clear" w:color="auto" w:fill="1A375E"/>
          </w:tcPr>
          <w:p>
            <w:pPr>
              <w:jc w:val="center"/>
            </w:pPr>
            <w:r>
              <w:rPr>
                <w:rFonts w:ascii="Calibri" w:hAnsi="Calibri"/>
                <w:b/>
                <w:color w:val="FFFFFF"/>
                <w:sz w:val="19"/>
              </w:rPr>
              <w:t>Without Treaty</w:t>
            </w:r>
          </w:p>
        </w:tc>
        <w:tc>
          <w:tcPr>
            <w:tcW w:type="dxa" w:w="3022"/>
            <w:shd w:val="clear" w:color="auto" w:fill="1A375E"/>
          </w:tcPr>
          <w:p>
            <w:pPr>
              <w:jc w:val="center"/>
            </w:pPr>
            <w:r>
              <w:rPr>
                <w:rFonts w:ascii="Calibri" w:hAnsi="Calibri"/>
                <w:b/>
                <w:color w:val="FFFFFF"/>
                <w:sz w:val="19"/>
              </w:rPr>
              <w:t>With Treaty</w:t>
            </w:r>
          </w:p>
        </w:tc>
      </w:tr>
      <w:tr>
        <w:tc>
          <w:tcPr>
            <w:tcW w:type="dxa" w:w="3022"/>
          </w:tcPr>
          <w:p>
            <w:pPr>
              <w:jc w:val="left"/>
            </w:pPr>
            <w:r>
              <w:rPr>
                <w:rFonts w:ascii="Calibri" w:hAnsi="Calibri"/>
                <w:sz w:val="19"/>
              </w:rPr>
              <w:t>Free-riding temptation</w:t>
            </w:r>
          </w:p>
        </w:tc>
        <w:tc>
          <w:tcPr>
            <w:tcW w:type="dxa" w:w="3022"/>
          </w:tcPr>
          <w:p>
            <w:pPr>
              <w:jc w:val="center"/>
            </w:pPr>
            <w:r>
              <w:rPr>
                <w:rFonts w:ascii="Calibri" w:hAnsi="Calibri"/>
                <w:sz w:val="19"/>
              </w:rPr>
              <w:t>HIGH — 0% tax attracts dirty automation</w:t>
            </w:r>
          </w:p>
        </w:tc>
        <w:tc>
          <w:tcPr>
            <w:tcW w:type="dxa" w:w="3022"/>
          </w:tcPr>
          <w:p>
            <w:pPr>
              <w:jc w:val="center"/>
            </w:pPr>
            <w:r>
              <w:rPr>
                <w:rFonts w:ascii="Calibri" w:hAnsi="Calibri"/>
                <w:sz w:val="19"/>
              </w:rPr>
              <w:t>ELIMINATED — 15% floor removes incentive</w:t>
            </w:r>
          </w:p>
        </w:tc>
      </w:tr>
      <w:tr>
        <w:tc>
          <w:tcPr>
            <w:tcW w:type="dxa" w:w="3022"/>
            <w:shd w:val="clear" w:color="auto" w:fill="EEF3FA"/>
          </w:tcPr>
          <w:p>
            <w:pPr>
              <w:jc w:val="left"/>
            </w:pPr>
            <w:r>
              <w:rPr>
                <w:rFonts w:ascii="Calibri" w:hAnsi="Calibri"/>
                <w:sz w:val="19"/>
              </w:rPr>
              <w:t>Brain drain severity</w:t>
            </w:r>
          </w:p>
        </w:tc>
        <w:tc>
          <w:tcPr>
            <w:tcW w:type="dxa" w:w="3022"/>
            <w:shd w:val="clear" w:color="auto" w:fill="EEF3FA"/>
          </w:tcPr>
          <w:p>
            <w:pPr>
              <w:jc w:val="center"/>
            </w:pPr>
            <w:r>
              <w:rPr>
                <w:rFonts w:ascii="Calibri" w:hAnsi="Calibri"/>
                <w:sz w:val="19"/>
              </w:rPr>
              <w:t>SEVERE — talent flows to highest TB payers</w:t>
            </w:r>
          </w:p>
        </w:tc>
        <w:tc>
          <w:tcPr>
            <w:tcW w:type="dxa" w:w="3022"/>
            <w:shd w:val="clear" w:color="auto" w:fill="EEF3FA"/>
          </w:tcPr>
          <w:p>
            <w:pPr>
              <w:jc w:val="center"/>
            </w:pPr>
            <w:r>
              <w:rPr>
                <w:rFonts w:ascii="Calibri" w:hAnsi="Calibri"/>
                <w:sz w:val="19"/>
              </w:rPr>
              <w:t>MANAGED — portability + migration dividend</w:t>
            </w:r>
          </w:p>
        </w:tc>
      </w:tr>
      <w:tr>
        <w:tc>
          <w:tcPr>
            <w:tcW w:type="dxa" w:w="3022"/>
          </w:tcPr>
          <w:p>
            <w:pPr>
              <w:jc w:val="left"/>
            </w:pPr>
            <w:r>
              <w:rPr>
                <w:rFonts w:ascii="Calibri" w:hAnsi="Calibri"/>
                <w:sz w:val="19"/>
              </w:rPr>
              <w:t>Race-to-bottom risk</w:t>
            </w:r>
          </w:p>
        </w:tc>
        <w:tc>
          <w:tcPr>
            <w:tcW w:type="dxa" w:w="3022"/>
          </w:tcPr>
          <w:p>
            <w:pPr>
              <w:jc w:val="center"/>
            </w:pPr>
            <w:r>
              <w:rPr>
                <w:rFonts w:ascii="Calibri" w:hAnsi="Calibri"/>
                <w:sz w:val="19"/>
              </w:rPr>
              <w:t>REAL — automation tax competition</w:t>
            </w:r>
          </w:p>
        </w:tc>
        <w:tc>
          <w:tcPr>
            <w:tcW w:type="dxa" w:w="3022"/>
          </w:tcPr>
          <w:p>
            <w:pPr>
              <w:jc w:val="center"/>
            </w:pPr>
            <w:r>
              <w:rPr>
                <w:rFonts w:ascii="Calibri" w:hAnsi="Calibri"/>
                <w:sz w:val="19"/>
              </w:rPr>
              <w:t>ELIMINATED — binding floor</w:t>
            </w:r>
          </w:p>
        </w:tc>
      </w:tr>
      <w:tr>
        <w:tc>
          <w:tcPr>
            <w:tcW w:type="dxa" w:w="3022"/>
            <w:shd w:val="clear" w:color="auto" w:fill="EEF3FA"/>
          </w:tcPr>
          <w:p>
            <w:pPr>
              <w:jc w:val="left"/>
            </w:pPr>
            <w:r>
              <w:rPr>
                <w:rFonts w:ascii="Calibri" w:hAnsi="Calibri"/>
                <w:sz w:val="19"/>
              </w:rPr>
              <w:t>First-mover advantage</w:t>
            </w:r>
          </w:p>
        </w:tc>
        <w:tc>
          <w:tcPr>
            <w:tcW w:type="dxa" w:w="3022"/>
            <w:shd w:val="clear" w:color="auto" w:fill="EEF3FA"/>
          </w:tcPr>
          <w:p>
            <w:pPr>
              <w:jc w:val="center"/>
            </w:pPr>
            <w:r>
              <w:rPr>
                <w:rFonts w:ascii="Calibri" w:hAnsi="Calibri"/>
                <w:sz w:val="19"/>
              </w:rPr>
              <w:t>LARGE — 35–80% GDP lead</w:t>
            </w:r>
          </w:p>
        </w:tc>
        <w:tc>
          <w:tcPr>
            <w:tcW w:type="dxa" w:w="3022"/>
            <w:shd w:val="clear" w:color="auto" w:fill="EEF3FA"/>
          </w:tcPr>
          <w:p>
            <w:pPr>
              <w:jc w:val="center"/>
            </w:pPr>
            <w:r>
              <w:rPr>
                <w:rFonts w:ascii="Calibri" w:hAnsi="Calibri"/>
                <w:sz w:val="19"/>
              </w:rPr>
              <w:t>MODERATED — all adopt faster</w:t>
            </w:r>
          </w:p>
        </w:tc>
      </w:tr>
      <w:tr>
        <w:tc>
          <w:tcPr>
            <w:tcW w:type="dxa" w:w="3022"/>
          </w:tcPr>
          <w:p>
            <w:pPr>
              <w:jc w:val="left"/>
            </w:pPr>
            <w:r>
              <w:rPr>
                <w:rFonts w:ascii="Calibri" w:hAnsi="Calibri"/>
                <w:sz w:val="19"/>
              </w:rPr>
              <w:t>Global GDP effect</w:t>
            </w:r>
          </w:p>
        </w:tc>
        <w:tc>
          <w:tcPr>
            <w:tcW w:type="dxa" w:w="3022"/>
          </w:tcPr>
          <w:p>
            <w:pPr>
              <w:jc w:val="center"/>
            </w:pPr>
            <w:r>
              <w:rPr>
                <w:rFonts w:ascii="Calibri" w:hAnsi="Calibri"/>
                <w:sz w:val="19"/>
              </w:rPr>
              <w:t>Partial — only adopters benefit</w:t>
            </w:r>
          </w:p>
        </w:tc>
        <w:tc>
          <w:tcPr>
            <w:tcW w:type="dxa" w:w="3022"/>
          </w:tcPr>
          <w:p>
            <w:pPr>
              <w:jc w:val="center"/>
            </w:pPr>
            <w:r>
              <w:rPr>
                <w:rFonts w:ascii="Calibri" w:hAnsi="Calibri"/>
                <w:sz w:val="19"/>
              </w:rPr>
              <w:t>MAXIMUM — all economies grow together</w:t>
            </w:r>
          </w:p>
        </w:tc>
      </w:tr>
    </w:tbl>
    <w:p>
      <w:pPr>
        <w:spacing w:after="60"/>
      </w:pPr>
    </w:p>
    <w:p>
      <w:r>
        <w:br w:type="page"/>
      </w:r>
    </w:p>
    <w:p>
      <w:pPr>
        <w:spacing w:before="200" w:after="100"/>
        <w:jc w:val="left"/>
      </w:pPr>
      <w:r>
        <w:rPr>
          <w:rFonts w:ascii="Calibri" w:hAnsi="Calibri"/>
          <w:b/>
          <w:color w:val="1A375E"/>
          <w:sz w:val="36"/>
        </w:rPr>
        <w:t>7.  Three Geopolitical Scenarios</w:t>
      </w:r>
    </w:p>
    <w:p>
      <w:pPr>
        <w:spacing w:before="80" w:after="80"/>
        <w:pBdr>
          <w:bottom w:val="single" w:sz="6" w:space="1" w:color="007A87"/>
        </w:pBdr>
      </w:pPr>
    </w:p>
    <w:p>
      <w:pPr>
        <w:spacing w:before="240" w:after="80"/>
        <w:jc w:val="left"/>
      </w:pPr>
      <w:r>
        <w:rPr>
          <w:rFonts w:ascii="Calibri" w:hAnsi="Calibri"/>
          <w:b/>
          <w:color w:val="007A87"/>
          <w:sz w:val="28"/>
        </w:rPr>
        <w:t>Scenario 1: Unilateral Pioneer (Most Likely Near-Term)</w:t>
      </w:r>
    </w:p>
    <w:p>
      <w:pPr>
        <w:spacing w:after="100" w:before="0"/>
        <w:jc w:val="left"/>
      </w:pPr>
      <w:r>
        <w:rPr>
          <w:rFonts w:ascii="Calibri" w:hAnsi="Calibri"/>
          <w:b w:val="0"/>
          <w:i w:val="0"/>
          <w:sz w:val="21"/>
        </w:rPr>
        <w:t>One country (most likely an EU member state or Singapore) implements TB as a national pilot. Initial success attracts global attention. Within 5 years, 3–5 countries follow. Coordination remains informal. Automation tax arbitrage creates some distortion but competitive pressure for adoption accelerates.</w:t>
      </w:r>
    </w:p>
    <w:p>
      <w:pPr>
        <w:spacing w:after="40" w:before="0"/>
        <w:jc w:val="left"/>
      </w:pPr>
      <w:r>
        <w:rPr>
          <w:rFonts w:ascii="Calibri" w:hAnsi="Calibri"/>
          <w:b/>
          <w:i w:val="0"/>
          <w:sz w:val="21"/>
        </w:rPr>
        <w:t>Projected timeline:</w:t>
      </w:r>
    </w:p>
    <w:p>
      <w:pPr>
        <w:pStyle w:val="ListBullet"/>
        <w:spacing w:after="60" w:before="20"/>
        <w:ind w:left="454"/>
      </w:pPr>
      <w:r>
        <w:rPr>
          <w:rFonts w:ascii="Calibri" w:hAnsi="Calibri"/>
          <w:b/>
          <w:sz w:val="21"/>
        </w:rPr>
        <w:t xml:space="preserve">Year 1–3  </w:t>
      </w:r>
      <w:r>
        <w:rPr>
          <w:rFonts w:ascii="Calibri" w:hAnsi="Calibri"/>
          <w:sz w:val="21"/>
        </w:rPr>
        <w:t>Pioneer country shows early GDP, productivity, and inequality improvements</w:t>
      </w:r>
    </w:p>
    <w:p>
      <w:pPr>
        <w:pStyle w:val="ListBullet"/>
        <w:spacing w:after="60" w:before="20"/>
        <w:ind w:left="454"/>
      </w:pPr>
      <w:r>
        <w:rPr>
          <w:rFonts w:ascii="Calibri" w:hAnsi="Calibri"/>
          <w:b/>
          <w:sz w:val="21"/>
        </w:rPr>
        <w:t xml:space="preserve">Year 3–5  </w:t>
      </w:r>
      <w:r>
        <w:rPr>
          <w:rFonts w:ascii="Calibri" w:hAnsi="Calibri"/>
          <w:sz w:val="21"/>
        </w:rPr>
        <w:t>Brain drain begins flowing toward pioneer. 2–3 followers announce pilots</w:t>
      </w:r>
    </w:p>
    <w:p>
      <w:pPr>
        <w:pStyle w:val="ListBullet"/>
        <w:spacing w:after="60" w:before="20"/>
        <w:ind w:left="454"/>
      </w:pPr>
      <w:r>
        <w:rPr>
          <w:rFonts w:ascii="Calibri" w:hAnsi="Calibri"/>
          <w:b/>
          <w:sz w:val="21"/>
        </w:rPr>
        <w:t xml:space="preserve">Year 5–10  </w:t>
      </w:r>
      <w:r>
        <w:rPr>
          <w:rFonts w:ascii="Calibri" w:hAnsi="Calibri"/>
          <w:sz w:val="21"/>
        </w:rPr>
        <w:t>Pioneer shows 20–35% GDP premium. Pressure on major economies intensifies</w:t>
      </w:r>
    </w:p>
    <w:p>
      <w:pPr>
        <w:pStyle w:val="ListBullet"/>
        <w:spacing w:after="60" w:before="20"/>
        <w:ind w:left="454"/>
      </w:pPr>
      <w:r>
        <w:rPr>
          <w:rFonts w:ascii="Calibri" w:hAnsi="Calibri"/>
          <w:b/>
          <w:sz w:val="21"/>
        </w:rPr>
        <w:t xml:space="preserve">Year 10–15  </w:t>
      </w:r>
      <w:r>
        <w:rPr>
          <w:rFonts w:ascii="Calibri" w:hAnsi="Calibri"/>
          <w:sz w:val="21"/>
        </w:rPr>
        <w:t>G7 members begin national adoptions. OECD begins treaty discussions</w:t>
      </w:r>
    </w:p>
    <w:p>
      <w:pPr>
        <w:pStyle w:val="ListBullet"/>
        <w:spacing w:after="60" w:before="20"/>
        <w:ind w:left="454"/>
      </w:pPr>
      <w:r>
        <w:rPr>
          <w:rFonts w:ascii="Calibri" w:hAnsi="Calibri"/>
          <w:b/>
          <w:sz w:val="21"/>
        </w:rPr>
        <w:t xml:space="preserve">Year 15–20  </w:t>
      </w:r>
      <w:r>
        <w:rPr>
          <w:rFonts w:ascii="Calibri" w:hAnsi="Calibri"/>
          <w:sz w:val="21"/>
        </w:rPr>
        <w:t>OECD TB Treaty signed. Global coordination begins</w:t>
      </w:r>
    </w:p>
    <w:p>
      <w:pPr>
        <w:spacing w:after="120" w:before="0"/>
      </w:pPr>
    </w:p>
    <w:p>
      <w:pPr>
        <w:spacing w:before="240" w:after="80"/>
        <w:jc w:val="left"/>
      </w:pPr>
      <w:r>
        <w:rPr>
          <w:rFonts w:ascii="Calibri" w:hAnsi="Calibri"/>
          <w:b/>
          <w:color w:val="1A7A4A"/>
          <w:sz w:val="28"/>
        </w:rPr>
        <w:t>Scenario 2: Coordinated Multi-Country Launch (Optimal Outcome)</w:t>
      </w:r>
    </w:p>
    <w:p>
      <w:pPr>
        <w:spacing w:after="100" w:before="0"/>
        <w:jc w:val="left"/>
      </w:pPr>
      <w:r>
        <w:rPr>
          <w:rFonts w:ascii="Calibri" w:hAnsi="Calibri"/>
          <w:b w:val="0"/>
          <w:i w:val="0"/>
          <w:sz w:val="21"/>
        </w:rPr>
        <w:t>The OECD brokers a simultaneous launch of TB pilots in 10+ countries, with a binding automation tax floor from day one. This eliminates free-riding, maximises GDP effect globally, and prevents talent concentration in one country.</w:t>
      </w:r>
    </w:p>
    <w:p>
      <w:pPr>
        <w:spacing w:after="40" w:before="0"/>
        <w:jc w:val="left"/>
      </w:pPr>
      <w:r>
        <w:rPr>
          <w:rFonts w:ascii="Calibri" w:hAnsi="Calibri"/>
          <w:b/>
          <w:i w:val="0"/>
          <w:sz w:val="21"/>
        </w:rPr>
        <w:t>Projected timeline:</w:t>
      </w:r>
    </w:p>
    <w:p>
      <w:pPr>
        <w:pStyle w:val="ListBullet"/>
        <w:spacing w:after="60" w:before="20"/>
        <w:ind w:left="454"/>
      </w:pPr>
      <w:r>
        <w:rPr>
          <w:rFonts w:ascii="Calibri" w:hAnsi="Calibri"/>
          <w:b/>
          <w:sz w:val="21"/>
        </w:rPr>
        <w:t xml:space="preserve">Year 1–2  </w:t>
      </w:r>
      <w:r>
        <w:rPr>
          <w:rFonts w:ascii="Calibri" w:hAnsi="Calibri"/>
          <w:sz w:val="21"/>
        </w:rPr>
        <w:t>OECD TB Framework published. 12 countries sign pilot MoU</w:t>
      </w:r>
    </w:p>
    <w:p>
      <w:pPr>
        <w:pStyle w:val="ListBullet"/>
        <w:spacing w:after="60" w:before="20"/>
        <w:ind w:left="454"/>
      </w:pPr>
      <w:r>
        <w:rPr>
          <w:rFonts w:ascii="Calibri" w:hAnsi="Calibri"/>
          <w:b/>
          <w:sz w:val="21"/>
        </w:rPr>
        <w:t xml:space="preserve">Year 2–5  </w:t>
      </w:r>
      <w:r>
        <w:rPr>
          <w:rFonts w:ascii="Calibri" w:hAnsi="Calibri"/>
          <w:sz w:val="21"/>
        </w:rPr>
        <w:t>Simultaneous national pilots. Standardised eligibility and TDRW rules</w:t>
      </w:r>
    </w:p>
    <w:p>
      <w:pPr>
        <w:pStyle w:val="ListBullet"/>
        <w:spacing w:after="60" w:before="20"/>
        <w:ind w:left="454"/>
      </w:pPr>
      <w:r>
        <w:rPr>
          <w:rFonts w:ascii="Calibri" w:hAnsi="Calibri"/>
          <w:b/>
          <w:sz w:val="21"/>
        </w:rPr>
        <w:t xml:space="preserve">Year 5–10  </w:t>
      </w:r>
      <w:r>
        <w:rPr>
          <w:rFonts w:ascii="Calibri" w:hAnsi="Calibri"/>
          <w:sz w:val="21"/>
        </w:rPr>
        <w:t>Full rollout in OECD countries. Treaty automation tax floor at 10%</w:t>
      </w:r>
    </w:p>
    <w:p>
      <w:pPr>
        <w:pStyle w:val="ListBullet"/>
        <w:spacing w:after="60" w:before="20"/>
        <w:ind w:left="454"/>
      </w:pPr>
      <w:r>
        <w:rPr>
          <w:rFonts w:ascii="Calibri" w:hAnsi="Calibri"/>
          <w:b/>
          <w:sz w:val="21"/>
        </w:rPr>
        <w:t xml:space="preserve">Year 10+  </w:t>
      </w:r>
      <w:r>
        <w:rPr>
          <w:rFonts w:ascii="Calibri" w:hAnsi="Calibri"/>
          <w:sz w:val="21"/>
        </w:rPr>
        <w:t>Global standard. Non-OECD countries adopt via bilateral agreements</w:t>
      </w:r>
    </w:p>
    <w:p>
      <w:pPr>
        <w:spacing w:after="120" w:before="0"/>
      </w:pPr>
    </w:p>
    <w:p>
      <w:pPr>
        <w:spacing w:before="240" w:after="80"/>
        <w:jc w:val="left"/>
      </w:pPr>
      <w:r>
        <w:rPr>
          <w:rFonts w:ascii="Calibri" w:hAnsi="Calibri"/>
          <w:b/>
          <w:color w:val="AD1F1F"/>
          <w:sz w:val="28"/>
        </w:rPr>
        <w:t>Scenario 3: Fragmented Adoption with Geopolitical Conflict</w:t>
      </w:r>
    </w:p>
    <w:p>
      <w:pPr>
        <w:spacing w:after="100" w:before="0"/>
        <w:jc w:val="left"/>
      </w:pPr>
      <w:r>
        <w:rPr>
          <w:rFonts w:ascii="Calibri" w:hAnsi="Calibri"/>
          <w:b w:val="0"/>
          <w:i w:val="0"/>
          <w:sz w:val="21"/>
        </w:rPr>
        <w:t>Western democracies adopt TB; authoritarian states resist or implement distorted versions. This creates a two-bloc world: TB economies (democratic, growing, innovative) vs non-TB economies (cheaper automation, growing inequality, social instability). The TB bloc grows structurally more powerful over 20 years.</w:t>
      </w:r>
    </w:p>
    <w:p>
      <w:pPr>
        <w:spacing w:after="40" w:before="0"/>
        <w:jc w:val="left"/>
      </w:pPr>
      <w:r>
        <w:rPr>
          <w:rFonts w:ascii="Calibri" w:hAnsi="Calibri"/>
          <w:b/>
          <w:i w:val="0"/>
          <w:sz w:val="21"/>
        </w:rPr>
        <w:t>Projected timeline:</w:t>
      </w:r>
    </w:p>
    <w:p>
      <w:pPr>
        <w:pStyle w:val="ListBullet"/>
        <w:spacing w:after="60" w:before="20"/>
        <w:ind w:left="454"/>
      </w:pPr>
      <w:r>
        <w:rPr>
          <w:rFonts w:ascii="Calibri" w:hAnsi="Calibri"/>
          <w:b/>
          <w:sz w:val="21"/>
        </w:rPr>
        <w:t xml:space="preserve">Year 1–5  </w:t>
      </w:r>
      <w:r>
        <w:rPr>
          <w:rFonts w:ascii="Calibri" w:hAnsi="Calibri"/>
          <w:sz w:val="21"/>
        </w:rPr>
        <w:t>TB adopted in EU, UK, Canada, Australia. US delays</w:t>
      </w:r>
    </w:p>
    <w:p>
      <w:pPr>
        <w:pStyle w:val="ListBullet"/>
        <w:spacing w:after="60" w:before="20"/>
        <w:ind w:left="454"/>
      </w:pPr>
      <w:r>
        <w:rPr>
          <w:rFonts w:ascii="Calibri" w:hAnsi="Calibri"/>
          <w:b/>
          <w:sz w:val="21"/>
        </w:rPr>
        <w:t xml:space="preserve">Year 5–10  </w:t>
      </w:r>
      <w:r>
        <w:rPr>
          <w:rFonts w:ascii="Calibri" w:hAnsi="Calibri"/>
          <w:sz w:val="21"/>
        </w:rPr>
        <w:t>Two-bloc structure emerges. TB economies gain GDP premium</w:t>
      </w:r>
    </w:p>
    <w:p>
      <w:pPr>
        <w:pStyle w:val="ListBullet"/>
        <w:spacing w:after="60" w:before="20"/>
        <w:ind w:left="454"/>
      </w:pPr>
      <w:r>
        <w:rPr>
          <w:rFonts w:ascii="Calibri" w:hAnsi="Calibri"/>
          <w:b/>
          <w:sz w:val="21"/>
        </w:rPr>
        <w:t xml:space="preserve">Year 10–15  </w:t>
      </w:r>
      <w:r>
        <w:rPr>
          <w:rFonts w:ascii="Calibri" w:hAnsi="Calibri"/>
          <w:sz w:val="21"/>
        </w:rPr>
        <w:t>Social instability in non-TB countries creates political pressure to adopt</w:t>
      </w:r>
    </w:p>
    <w:p>
      <w:pPr>
        <w:pStyle w:val="ListBullet"/>
        <w:spacing w:after="60" w:before="20"/>
        <w:ind w:left="454"/>
      </w:pPr>
      <w:r>
        <w:rPr>
          <w:rFonts w:ascii="Calibri" w:hAnsi="Calibri"/>
          <w:b/>
          <w:sz w:val="21"/>
        </w:rPr>
        <w:t xml:space="preserve">Year 15–25  </w:t>
      </w:r>
      <w:r>
        <w:rPr>
          <w:rFonts w:ascii="Calibri" w:hAnsi="Calibri"/>
          <w:sz w:val="21"/>
        </w:rPr>
        <w:t>Non-TB countries adopt — pushed by internal politics, not external</w:t>
      </w:r>
    </w:p>
    <w:p>
      <w:pPr>
        <w:spacing w:after="120" w:before="0"/>
      </w:pPr>
    </w:p>
    <w:p>
      <w:r>
        <w:br w:type="page"/>
      </w:r>
    </w:p>
    <w:p>
      <w:pPr>
        <w:spacing w:before="200" w:after="100"/>
        <w:jc w:val="left"/>
      </w:pPr>
      <w:r>
        <w:rPr>
          <w:rFonts w:ascii="Calibri" w:hAnsi="Calibri"/>
          <w:b/>
          <w:color w:val="1A375E"/>
          <w:sz w:val="36"/>
        </w:rPr>
        <w:t>8.  Conclusion — The Geopolitical Imperative</w:t>
      </w:r>
    </w:p>
    <w:p>
      <w:pPr>
        <w:spacing w:before="80" w:after="80"/>
        <w:pBdr>
          <w:bottom w:val="single" w:sz="6" w:space="1" w:color="007A87"/>
        </w:pBdr>
      </w:pPr>
    </w:p>
    <w:p>
      <w:pPr>
        <w:spacing w:after="100" w:before="0"/>
        <w:jc w:val="left"/>
      </w:pPr>
      <w:r>
        <w:rPr>
          <w:rFonts w:ascii="Calibri" w:hAnsi="Calibri"/>
          <w:b w:val="0"/>
          <w:i w:val="0"/>
          <w:sz w:val="21"/>
        </w:rPr>
        <w:t>The game theory is unambiguous. For any rational national government, ADOPT is the dominant strategy in the TB adoption game. The only question is timing — and timing determines the size of the compounding advantage.</w:t>
      </w:r>
    </w:p>
    <w:p>
      <w:pPr>
        <w:spacing w:after="100" w:before="0"/>
        <w:jc w:val="left"/>
      </w:pPr>
      <w:r>
        <w:rPr>
          <w:rFonts w:ascii="Calibri" w:hAnsi="Calibri"/>
          <w:b w:val="0"/>
          <w:i w:val="0"/>
          <w:sz w:val="21"/>
        </w:rPr>
        <w:t>The historical record is equally clear: countries that first invested in universal human capital infrastructure — education, health, social protection — built compounding economic advantages that lasted generations. Time Borrowing is the 21st-century version of that investment, funded not by taxpayers but by the automation that is changing the world regardless.</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The machines are not going to stop. The productivity surplus they generate is not going to shrink. The displacement they cause is not going to reverse.</w:t>
              <w:br/>
              <w:br/>
              <w:t>The only geopolitical question is: which country will be the first to turn that reality into a systematic, sustainable advantage for its people — and thereby force every other country to do the same?</w:t>
            </w:r>
          </w:p>
        </w:tc>
      </w:tr>
    </w:tbl>
    <w:p>
      <w:pPr>
        <w:spacing w:after="60"/>
      </w:pPr>
    </w:p>
    <w:p>
      <w:pPr>
        <w:spacing w:after="200" w:before="0"/>
      </w:pP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5B2D8E"/>
          </w:tcPr>
          <w:p>
            <w:pPr>
              <w:jc w:val="center"/>
            </w:pPr>
            <w:r>
              <w:rPr>
                <w:rFonts w:ascii="Calibri" w:hAnsi="Calibri"/>
                <w:b/>
                <w:color w:val="FFFFFF"/>
                <w:sz w:val="19"/>
              </w:rPr>
              <w:t>The Strategic Choice</w:t>
            </w:r>
          </w:p>
        </w:tc>
        <w:tc>
          <w:tcPr>
            <w:tcW w:type="dxa" w:w="3022"/>
            <w:shd w:val="clear" w:color="auto" w:fill="5B2D8E"/>
          </w:tcPr>
          <w:p>
            <w:pPr>
              <w:jc w:val="center"/>
            </w:pPr>
            <w:r>
              <w:rPr>
                <w:rFonts w:ascii="Calibri" w:hAnsi="Calibri"/>
                <w:b/>
                <w:color w:val="FFFFFF"/>
                <w:sz w:val="19"/>
              </w:rPr>
              <w:t>Adopt</w:t>
            </w:r>
          </w:p>
        </w:tc>
        <w:tc>
          <w:tcPr>
            <w:tcW w:type="dxa" w:w="3022"/>
            <w:shd w:val="clear" w:color="auto" w:fill="5B2D8E"/>
          </w:tcPr>
          <w:p>
            <w:pPr>
              <w:jc w:val="center"/>
            </w:pPr>
            <w:r>
              <w:rPr>
                <w:rFonts w:ascii="Calibri" w:hAnsi="Calibri"/>
                <w:b/>
                <w:color w:val="FFFFFF"/>
                <w:sz w:val="19"/>
              </w:rPr>
              <w:t>Do Not Adopt</w:t>
            </w:r>
          </w:p>
        </w:tc>
      </w:tr>
      <w:tr>
        <w:tc>
          <w:tcPr>
            <w:tcW w:type="dxa" w:w="3022"/>
          </w:tcPr>
          <w:p>
            <w:pPr>
              <w:jc w:val="left"/>
            </w:pPr>
            <w:r>
              <w:rPr>
                <w:rFonts w:ascii="Calibri" w:hAnsi="Calibri"/>
                <w:sz w:val="19"/>
              </w:rPr>
              <w:t>GDP after 25 years</w:t>
            </w:r>
          </w:p>
        </w:tc>
        <w:tc>
          <w:tcPr>
            <w:tcW w:type="dxa" w:w="3022"/>
          </w:tcPr>
          <w:p>
            <w:pPr>
              <w:jc w:val="center"/>
            </w:pPr>
            <w:r>
              <w:rPr>
                <w:rFonts w:ascii="Calibri" w:hAnsi="Calibri"/>
                <w:sz w:val="19"/>
              </w:rPr>
              <w:t>+59% vs baseline</w:t>
            </w:r>
          </w:p>
        </w:tc>
        <w:tc>
          <w:tcPr>
            <w:tcW w:type="dxa" w:w="3022"/>
          </w:tcPr>
          <w:p>
            <w:pPr>
              <w:jc w:val="center"/>
            </w:pPr>
            <w:r>
              <w:rPr>
                <w:rFonts w:ascii="Calibri" w:hAnsi="Calibri"/>
                <w:sz w:val="19"/>
              </w:rPr>
              <w:t>+22% vs baseline</w:t>
            </w:r>
          </w:p>
        </w:tc>
      </w:tr>
      <w:tr>
        <w:tc>
          <w:tcPr>
            <w:tcW w:type="dxa" w:w="3022"/>
            <w:shd w:val="clear" w:color="auto" w:fill="EEF3FA"/>
          </w:tcPr>
          <w:p>
            <w:pPr>
              <w:jc w:val="left"/>
            </w:pPr>
            <w:r>
              <w:rPr>
                <w:rFonts w:ascii="Calibri" w:hAnsi="Calibri"/>
                <w:sz w:val="19"/>
              </w:rPr>
              <w:t>Talent flows</w:t>
            </w:r>
          </w:p>
        </w:tc>
        <w:tc>
          <w:tcPr>
            <w:tcW w:type="dxa" w:w="3022"/>
            <w:shd w:val="clear" w:color="auto" w:fill="EEF3FA"/>
          </w:tcPr>
          <w:p>
            <w:pPr>
              <w:jc w:val="center"/>
            </w:pPr>
            <w:r>
              <w:rPr>
                <w:rFonts w:ascii="Calibri" w:hAnsi="Calibri"/>
                <w:sz w:val="19"/>
              </w:rPr>
              <w:t>Attracts global talent</w:t>
            </w:r>
          </w:p>
        </w:tc>
        <w:tc>
          <w:tcPr>
            <w:tcW w:type="dxa" w:w="3022"/>
            <w:shd w:val="clear" w:color="auto" w:fill="EEF3FA"/>
          </w:tcPr>
          <w:p>
            <w:pPr>
              <w:jc w:val="center"/>
            </w:pPr>
            <w:r>
              <w:rPr>
                <w:rFonts w:ascii="Calibri" w:hAnsi="Calibri"/>
                <w:sz w:val="19"/>
              </w:rPr>
              <w:t>Loses talent to TB countries</w:t>
            </w:r>
          </w:p>
        </w:tc>
      </w:tr>
      <w:tr>
        <w:tc>
          <w:tcPr>
            <w:tcW w:type="dxa" w:w="3022"/>
          </w:tcPr>
          <w:p>
            <w:pPr>
              <w:jc w:val="left"/>
            </w:pPr>
            <w:r>
              <w:rPr>
                <w:rFonts w:ascii="Calibri" w:hAnsi="Calibri"/>
                <w:sz w:val="19"/>
              </w:rPr>
              <w:t>Inflation</w:t>
            </w:r>
          </w:p>
        </w:tc>
        <w:tc>
          <w:tcPr>
            <w:tcW w:type="dxa" w:w="3022"/>
          </w:tcPr>
          <w:p>
            <w:pPr>
              <w:jc w:val="center"/>
            </w:pPr>
            <w:r>
              <w:rPr>
                <w:rFonts w:ascii="Calibri" w:hAnsi="Calibri"/>
                <w:sz w:val="19"/>
              </w:rPr>
              <w:t>LOWER</w:t>
            </w:r>
          </w:p>
        </w:tc>
        <w:tc>
          <w:tcPr>
            <w:tcW w:type="dxa" w:w="3022"/>
          </w:tcPr>
          <w:p>
            <w:pPr>
              <w:jc w:val="center"/>
            </w:pPr>
            <w:r>
              <w:rPr>
                <w:rFonts w:ascii="Calibri" w:hAnsi="Calibri"/>
                <w:sz w:val="19"/>
              </w:rPr>
              <w:t>Standard</w:t>
            </w:r>
          </w:p>
        </w:tc>
      </w:tr>
      <w:tr>
        <w:tc>
          <w:tcPr>
            <w:tcW w:type="dxa" w:w="3022"/>
            <w:shd w:val="clear" w:color="auto" w:fill="EEF3FA"/>
          </w:tcPr>
          <w:p>
            <w:pPr>
              <w:jc w:val="left"/>
            </w:pPr>
            <w:r>
              <w:rPr>
                <w:rFonts w:ascii="Calibri" w:hAnsi="Calibri"/>
                <w:sz w:val="19"/>
              </w:rPr>
              <w:t>Inequality</w:t>
            </w:r>
          </w:p>
        </w:tc>
        <w:tc>
          <w:tcPr>
            <w:tcW w:type="dxa" w:w="3022"/>
            <w:shd w:val="clear" w:color="auto" w:fill="EEF3FA"/>
          </w:tcPr>
          <w:p>
            <w:pPr>
              <w:jc w:val="center"/>
            </w:pPr>
            <w:r>
              <w:rPr>
                <w:rFonts w:ascii="Calibri" w:hAnsi="Calibri"/>
                <w:sz w:val="19"/>
              </w:rPr>
              <w:t>Significantly reduced</w:t>
            </w:r>
          </w:p>
        </w:tc>
        <w:tc>
          <w:tcPr>
            <w:tcW w:type="dxa" w:w="3022"/>
            <w:shd w:val="clear" w:color="auto" w:fill="EEF3FA"/>
          </w:tcPr>
          <w:p>
            <w:pPr>
              <w:jc w:val="center"/>
            </w:pPr>
            <w:r>
              <w:rPr>
                <w:rFonts w:ascii="Calibri" w:hAnsi="Calibri"/>
                <w:sz w:val="19"/>
              </w:rPr>
              <w:t>Unchanged or worsening</w:t>
            </w:r>
          </w:p>
        </w:tc>
      </w:tr>
      <w:tr>
        <w:tc>
          <w:tcPr>
            <w:tcW w:type="dxa" w:w="3022"/>
          </w:tcPr>
          <w:p>
            <w:pPr>
              <w:jc w:val="left"/>
            </w:pPr>
            <w:r>
              <w:rPr>
                <w:rFonts w:ascii="Calibri" w:hAnsi="Calibri"/>
                <w:sz w:val="19"/>
              </w:rPr>
              <w:t>Social stability</w:t>
            </w:r>
          </w:p>
        </w:tc>
        <w:tc>
          <w:tcPr>
            <w:tcW w:type="dxa" w:w="3022"/>
          </w:tcPr>
          <w:p>
            <w:pPr>
              <w:jc w:val="center"/>
            </w:pPr>
            <w:r>
              <w:rPr>
                <w:rFonts w:ascii="Calibri" w:hAnsi="Calibri"/>
                <w:sz w:val="19"/>
              </w:rPr>
              <w:t>Improved</w:t>
            </w:r>
          </w:p>
        </w:tc>
        <w:tc>
          <w:tcPr>
            <w:tcW w:type="dxa" w:w="3022"/>
          </w:tcPr>
          <w:p>
            <w:pPr>
              <w:jc w:val="center"/>
            </w:pPr>
            <w:r>
              <w:rPr>
                <w:rFonts w:ascii="Calibri" w:hAnsi="Calibri"/>
                <w:sz w:val="19"/>
              </w:rPr>
              <w:t>At risk from displacement</w:t>
            </w:r>
          </w:p>
        </w:tc>
      </w:tr>
      <w:tr>
        <w:tc>
          <w:tcPr>
            <w:tcW w:type="dxa" w:w="3022"/>
            <w:shd w:val="clear" w:color="auto" w:fill="EEF3FA"/>
          </w:tcPr>
          <w:p>
            <w:pPr>
              <w:jc w:val="left"/>
            </w:pPr>
            <w:r>
              <w:rPr>
                <w:rFonts w:ascii="Calibri" w:hAnsi="Calibri"/>
                <w:sz w:val="19"/>
              </w:rPr>
              <w:t>International standing</w:t>
            </w:r>
          </w:p>
        </w:tc>
        <w:tc>
          <w:tcPr>
            <w:tcW w:type="dxa" w:w="3022"/>
            <w:shd w:val="clear" w:color="auto" w:fill="EEF3FA"/>
          </w:tcPr>
          <w:p>
            <w:pPr>
              <w:jc w:val="center"/>
            </w:pPr>
            <w:r>
              <w:rPr>
                <w:rFonts w:ascii="Calibri" w:hAnsi="Calibri"/>
                <w:sz w:val="19"/>
              </w:rPr>
              <w:t>First mover advantage</w:t>
            </w:r>
          </w:p>
        </w:tc>
        <w:tc>
          <w:tcPr>
            <w:tcW w:type="dxa" w:w="3022"/>
            <w:shd w:val="clear" w:color="auto" w:fill="EEF3FA"/>
          </w:tcPr>
          <w:p>
            <w:pPr>
              <w:jc w:val="center"/>
            </w:pPr>
            <w:r>
              <w:rPr>
                <w:rFonts w:ascii="Calibri" w:hAnsi="Calibri"/>
                <w:sz w:val="19"/>
              </w:rPr>
              <w:t>Strategic follower</w:t>
            </w:r>
          </w:p>
        </w:tc>
      </w:tr>
      <w:tr>
        <w:tc>
          <w:tcPr>
            <w:tcW w:type="dxa" w:w="3022"/>
          </w:tcPr>
          <w:p>
            <w:pPr>
              <w:jc w:val="left"/>
            </w:pPr>
            <w:r>
              <w:rPr>
                <w:rFonts w:ascii="Calibri" w:hAnsi="Calibri"/>
                <w:sz w:val="19"/>
              </w:rPr>
              <w:t>Long-run verdict</w:t>
            </w:r>
          </w:p>
        </w:tc>
        <w:tc>
          <w:tcPr>
            <w:tcW w:type="dxa" w:w="3022"/>
          </w:tcPr>
          <w:p>
            <w:pPr>
              <w:jc w:val="center"/>
            </w:pPr>
            <w:r>
              <w:rPr>
                <w:rFonts w:ascii="Calibri" w:hAnsi="Calibri"/>
                <w:sz w:val="19"/>
              </w:rPr>
              <w:t>DOMINANT STRATEGY</w:t>
            </w:r>
          </w:p>
        </w:tc>
        <w:tc>
          <w:tcPr>
            <w:tcW w:type="dxa" w:w="3022"/>
          </w:tcPr>
          <w:p>
            <w:pPr>
              <w:jc w:val="center"/>
            </w:pPr>
            <w:r>
              <w:rPr>
                <w:rFonts w:ascii="Calibri" w:hAnsi="Calibri"/>
                <w:sz w:val="19"/>
              </w:rPr>
              <w:t>Dominated — adopt or fall behind</w:t>
            </w:r>
          </w:p>
        </w:tc>
      </w:tr>
    </w:tbl>
    <w:p>
      <w:pPr>
        <w:spacing w:after="60"/>
      </w:pPr>
    </w:p>
    <w:p>
      <w:pPr>
        <w:spacing w:after="200" w:before="0"/>
      </w:pPr>
    </w:p>
    <w:p>
      <w:pPr>
        <w:jc w:val="center"/>
      </w:pPr>
      <w:r>
        <w:rPr>
          <w:rFonts w:ascii="Calibri" w:hAnsi="Calibri"/>
          <w:i/>
          <w:color w:val="778899"/>
          <w:sz w:val="18"/>
        </w:rPr>
        <w:t>Author: Enis Murseli  |  Time Borrowing Initiative  |  May 2026</w:t>
        <w:br/>
        <w:t>Research, theoretical framework, and simulation: original work by the author.</w:t>
        <w:br/>
        <w:t>AI tools used for equation research, code testing, and document structuring.</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