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1A375E"/>
          </w:tcPr>
          <w:p>
            <w:r>
              <w:t xml:space="preserve"> </w:t>
            </w:r>
          </w:p>
        </w:tc>
      </w:tr>
    </w:tbl>
    <w:p/>
    <w:p>
      <w:pPr>
        <w:spacing w:before="480" w:after="120"/>
        <w:jc w:val="center"/>
      </w:pPr>
      <w:r>
        <w:rPr>
          <w:rFonts w:ascii="Calibri" w:hAnsi="Calibri"/>
          <w:b/>
          <w:color w:val="1A375E"/>
          <w:sz w:val="56"/>
        </w:rPr>
        <w:t>The Time Borrowing Instrument</w:t>
      </w:r>
    </w:p>
    <w:p>
      <w:pPr>
        <w:spacing w:after="80"/>
        <w:jc w:val="center"/>
      </w:pPr>
      <w:r>
        <w:rPr>
          <w:rFonts w:ascii="Calibri" w:hAnsi="Calibri"/>
          <w:b/>
          <w:color w:val="007A87"/>
          <w:sz w:val="28"/>
        </w:rPr>
        <w:t>A Sovereign Economic Instrument for Human Potential in the Age of Automation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8F4F7"/>
          </w:tcPr>
          <w:p>
            <w:pPr>
              <w:spacing w:before="120" w:after="120"/>
              <w:ind w:left="170"/>
            </w:pPr>
            <w:r>
              <w:rPr>
                <w:rFonts w:ascii="Calibri" w:hAnsi="Calibri"/>
                <w:i/>
                <w:color w:val="1A375E"/>
                <w:sz w:val="21"/>
              </w:rPr>
              <w:t>"What if artificial intelligence, instead of replacing human potential, became the very engine that funds it?"</w:t>
            </w:r>
          </w:p>
        </w:tc>
      </w:tr>
    </w:tbl>
    <w:p>
      <w:pPr>
        <w:spacing w:after="80"/>
      </w:pPr>
    </w:p>
    <w:p/>
    <w:p>
      <w:pPr>
        <w:spacing w:before="400"/>
        <w:jc w:val="center"/>
      </w:pPr>
      <w:r>
        <w:rPr>
          <w:rFonts w:ascii="Calibri" w:hAnsi="Calibri"/>
          <w:color w:val="556677"/>
          <w:sz w:val="20"/>
        </w:rPr>
        <w:t>A Policy Proposal for Government Consideration</w:t>
        <w:br/>
      </w:r>
      <w:r>
        <w:rPr>
          <w:rFonts w:ascii="Calibri" w:hAnsi="Calibri"/>
          <w:color w:val="556677"/>
          <w:sz w:val="20"/>
        </w:rPr>
        <w:t>May 2026</w:t>
        <w:br/>
      </w:r>
      <w:r>
        <w:rPr>
          <w:rFonts w:ascii="Calibri" w:hAnsi="Calibri"/>
          <w:color w:val="556677"/>
          <w:sz w:val="20"/>
        </w:rPr>
        <w:br/>
      </w:r>
      <w:r>
        <w:rPr>
          <w:rFonts w:ascii="Calibri" w:hAnsi="Calibri"/>
          <w:color w:val="556677"/>
          <w:sz w:val="20"/>
        </w:rPr>
        <w:t>Supported by agent-based economic simulation</w:t>
        <w:br/>
      </w:r>
      <w:r>
        <w:rPr>
          <w:rFonts w:ascii="Calibri" w:hAnsi="Calibri"/>
          <w:color w:val="556677"/>
          <w:sz w:val="20"/>
        </w:rPr>
        <w:t>293 independently verified equations and tests</w:t>
        <w:br/>
      </w:r>
      <w:r>
        <w:rPr>
          <w:rFonts w:ascii="Calibri" w:hAnsi="Calibri"/>
          <w:color w:val="556677"/>
          <w:sz w:val="20"/>
        </w:rPr>
        <w:t>10 / 10 proof points confirmed</w:t>
        <w:br/>
      </w:r>
    </w:p>
    <w:p>
      <w:r>
        <w:br w:type="page"/>
      </w:r>
    </w:p>
    <w:p>
      <w:pPr>
        <w:spacing w:before="240" w:after="120"/>
        <w:jc w:val="left"/>
      </w:pPr>
      <w:r>
        <w:rPr>
          <w:rFonts w:ascii="Calibri" w:hAnsi="Calibri"/>
          <w:b/>
          <w:color w:val="1A375E"/>
          <w:sz w:val="36"/>
        </w:rPr>
        <w:t>Executive Summary</w:t>
      </w:r>
    </w:p>
    <w:p>
      <w:pPr>
        <w:spacing w:before="80" w:after="80"/>
        <w:pBdr>
          <w:bottom w:val="single" w:sz="6" w:space="1" w:color="007A87"/>
        </w:pBdr>
      </w:pP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The Time Borrowing Instrument (TBI) is a new, additive economic instrument that transforms the productivity surplus generated by artificial intelligence and automation into a direct, repayable capital advance for every citizen. It requires no changes to existing banking systems, welfare infrastructure, or monetary policy.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Rather than printing new money or raising taxes, the TBI ring-fences a dedicated levy on AI and automation output — the Automation and AI Tax — and channels it into a sovereign liquidity pool. Citizens borrow against their future time and contribution, receive the advance to invest in education, entrepreneurship, or periods of hardship, and repay over a structured window. If repayment falls below 30%, a calculated freeze period prevents systemic abuse — creating a mathematically self-balancing circuit.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8F4F7"/>
          </w:tcPr>
          <w:p>
            <w:pPr>
              <w:spacing w:before="120" w:after="120"/>
              <w:ind w:left="170"/>
            </w:pPr>
            <w:r>
              <w:rPr>
                <w:rFonts w:ascii="Calibri" w:hAnsi="Calibri"/>
                <w:i/>
                <w:color w:val="1A375E"/>
                <w:sz w:val="21"/>
              </w:rPr>
              <w:t>Simulation result (50-person economy, 25-year horizon): With the TBI active, GDP grew 59% more than baseline. Inflation was LOWER under TB (0.53%/yr vs 1.02%/yr). Inequality (Gini) fell from 0.350 to 0.323. The TB pool grew 20x — from 132 to 2,809 units. All 10 proof points confirmed.</w:t>
            </w:r>
          </w:p>
        </w:tc>
      </w:tr>
    </w:tbl>
    <w:p>
      <w:pPr>
        <w:spacing w:after="80"/>
      </w:pPr>
    </w:p>
    <w:p>
      <w:pPr>
        <w:spacing w:before="240" w:after="120"/>
        <w:jc w:val="left"/>
      </w:pPr>
      <w:r>
        <w:rPr>
          <w:rFonts w:ascii="Calibri" w:hAnsi="Calibri"/>
          <w:b/>
          <w:color w:val="007A87"/>
          <w:sz w:val="24"/>
        </w:rPr>
        <w:t>Key Findings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Indicator</w:t>
            </w:r>
          </w:p>
        </w:tc>
        <w:tc>
          <w:tcPr>
            <w:tcW w:type="dxa" w:w="2266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Baseline Economy</w:t>
            </w:r>
          </w:p>
        </w:tc>
        <w:tc>
          <w:tcPr>
            <w:tcW w:type="dxa" w:w="2266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With Time Borrowing</w:t>
            </w:r>
          </w:p>
        </w:tc>
        <w:tc>
          <w:tcPr>
            <w:tcW w:type="dxa" w:w="2266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Change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GDP after 25 years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12,906 units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20,521 units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+59.0%</w:t>
            </w:r>
          </w:p>
        </w:tc>
      </w:tr>
      <w:tr>
        <w:tc>
          <w:tcPr>
            <w:tcW w:type="dxa" w:w="2266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Annual GDP growth (CAGR)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3.87%/yr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5.86%/yr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+1.99pp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Average inflation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1.02%/yr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0.53%/yr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-0.50pp (LOWER)</w:t>
            </w:r>
          </w:p>
        </w:tc>
      </w:tr>
      <w:tr>
        <w:tc>
          <w:tcPr>
            <w:tcW w:type="dxa" w:w="2266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Inequality (Gini)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0.358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0.323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-9.8% (MORE EQUAL)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Worker productivity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327.7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492.3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+50.2%</w:t>
            </w:r>
          </w:p>
        </w:tc>
      </w:tr>
      <w:tr>
        <w:tc>
          <w:tcPr>
            <w:tcW w:type="dxa" w:w="2266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TB Pool sustainability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N/A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132 → 2,809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+2,020% (self-growing)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Survives climate shocks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N/A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Pool intact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40" w:after="120"/>
        <w:jc w:val="left"/>
      </w:pPr>
      <w:r>
        <w:rPr>
          <w:rFonts w:ascii="Calibri" w:hAnsi="Calibri"/>
          <w:b/>
          <w:color w:val="1A375E"/>
          <w:sz w:val="36"/>
        </w:rPr>
        <w:t>1. The Problem We Are Solving</w:t>
      </w:r>
    </w:p>
    <w:p>
      <w:pPr>
        <w:spacing w:before="80" w:after="80"/>
        <w:pBdr>
          <w:bottom w:val="single" w:sz="6" w:space="1" w:color="007A87"/>
        </w:pBdr>
      </w:pPr>
    </w:p>
    <w:p>
      <w:pPr>
        <w:spacing w:after="160" w:before="0"/>
      </w:pPr>
      <w:r>
        <w:rPr>
          <w:rFonts w:ascii="Calibri" w:hAnsi="Calibri"/>
          <w:b w:val="0"/>
          <w:i w:val="0"/>
          <w:sz w:val="21"/>
        </w:rPr>
        <w:t>Three simultaneous forces are converging to create a structural economic crisis that existing tools are not designed to solve:</w:t>
      </w:r>
    </w:p>
    <w:p>
      <w:pPr>
        <w:spacing w:before="240" w:after="120"/>
        <w:jc w:val="left"/>
      </w:pPr>
      <w:r>
        <w:rPr>
          <w:rFonts w:ascii="Calibri" w:hAnsi="Calibri"/>
          <w:b/>
          <w:color w:val="007A87"/>
          <w:sz w:val="28"/>
        </w:rPr>
        <w:t>1.1 The Automation Displacement Gap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1"/>
        </w:rPr>
        <w:t>Artificial intelligence and robotics are eliminating routine jobs at an accelerating pace. The OECD estimates that 14% of jobs are highly automatable and a further 32% face significant change. This creates a structural gap between the wealth generated by machines and the individuals displaced by them.</w:t>
      </w:r>
    </w:p>
    <w:p>
      <w:pPr>
        <w:spacing w:before="240" w:after="120"/>
        <w:jc w:val="left"/>
      </w:pPr>
      <w:r>
        <w:rPr>
          <w:rFonts w:ascii="Calibri" w:hAnsi="Calibri"/>
          <w:b/>
          <w:color w:val="007A87"/>
          <w:sz w:val="28"/>
        </w:rPr>
        <w:t>1.2 The Human Capital Funding Deficit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1"/>
        </w:rPr>
        <w:t>Retraining, higher education, and entrepreneurship require upfront capital. The citizens most in need — the unemployed, NEET youth, and those in declining industries — are precisely those who cannot access traditional credit. Bank loans require collateral they do not have. Grants are limited and politically distributed. Welfare creates dependency without building capacity.</w:t>
      </w:r>
    </w:p>
    <w:p>
      <w:pPr>
        <w:spacing w:before="240" w:after="120"/>
        <w:jc w:val="left"/>
      </w:pPr>
      <w:r>
        <w:rPr>
          <w:rFonts w:ascii="Calibri" w:hAnsi="Calibri"/>
          <w:b/>
          <w:color w:val="007A87"/>
          <w:sz w:val="28"/>
        </w:rPr>
        <w:t>1.3 The Inflation-Welfare Trap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1"/>
        </w:rPr>
        <w:t>Universal Basic Income (UBI) proposals address displacement but are funded by fiat money creation or broad tax increases — both of which risk inflation and political resistance. The more governments spend on welfare, the larger deficits grow, and the less fiscal space remains for investment.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8F4F7"/>
          </w:tcPr>
          <w:p>
            <w:pPr>
              <w:spacing w:before="120" w:after="120"/>
              <w:ind w:left="170"/>
            </w:pPr>
            <w:r>
              <w:rPr>
                <w:rFonts w:ascii="Calibri" w:hAnsi="Calibri"/>
                <w:i/>
                <w:color w:val="1A375E"/>
                <w:sz w:val="21"/>
              </w:rPr>
              <w:t>The question is not whether we can afford to fund human potential. The question is whether we can afford NOT to — and whether we can do it without creating the inflation and dependency traps of the past.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40" w:after="120"/>
        <w:jc w:val="left"/>
      </w:pPr>
      <w:r>
        <w:rPr>
          <w:rFonts w:ascii="Calibri" w:hAnsi="Calibri"/>
          <w:b/>
          <w:color w:val="1A375E"/>
          <w:sz w:val="36"/>
        </w:rPr>
        <w:t>2. What is the Time Borrowing Instrument?</w:t>
      </w:r>
    </w:p>
    <w:p>
      <w:pPr>
        <w:spacing w:before="80" w:after="80"/>
        <w:pBdr>
          <w:bottom w:val="single" w:sz="6" w:space="1" w:color="007A87"/>
        </w:pBdr>
      </w:pPr>
    </w:p>
    <w:p>
      <w:pPr>
        <w:spacing w:after="160" w:before="0"/>
      </w:pPr>
      <w:r>
        <w:rPr>
          <w:rFonts w:ascii="Calibri" w:hAnsi="Calibri"/>
          <w:b w:val="0"/>
          <w:i w:val="0"/>
          <w:sz w:val="21"/>
        </w:rPr>
        <w:t>The Time Borrowing Instrument is a sovereign financial tool that enables citizens to borrow against their own FUTURE TIME — their future work, contribution, and labour — rather than against financial collateral. It is funded entirely by a dedicated tax on the output of artificial intelligence and automation systems.</w:t>
      </w:r>
    </w:p>
    <w:p>
      <w:pPr>
        <w:spacing w:before="240" w:after="120"/>
        <w:jc w:val="left"/>
      </w:pPr>
      <w:r>
        <w:rPr>
          <w:rFonts w:ascii="Calibri" w:hAnsi="Calibri"/>
          <w:b/>
          <w:color w:val="007A87"/>
          <w:sz w:val="28"/>
        </w:rPr>
        <w:t>2.1 The Core Circuit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The mechanism operates as a closed, self-funding loop: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007A8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3022"/>
            <w:shd w:val="clear" w:color="auto" w:fill="007A8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Actor</w:t>
            </w:r>
          </w:p>
        </w:tc>
        <w:tc>
          <w:tcPr>
            <w:tcW w:type="dxa" w:w="3022"/>
            <w:shd w:val="clear" w:color="auto" w:fill="007A8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AI &amp; Automation Systems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Generate economic surplus through automated work</w:t>
            </w:r>
          </w:p>
        </w:tc>
      </w:tr>
      <w:tr>
        <w:tc>
          <w:tcPr>
            <w:tcW w:type="dxa" w:w="3022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Automation Tax (15%)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A dedicated levy on AI/automation output value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TB Liquidity Pool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Ring-fenced sovereign fund — never enters general budget</w:t>
            </w:r>
          </w:p>
        </w:tc>
      </w:tr>
      <w:tr>
        <w:tc>
          <w:tcPr>
            <w:tcW w:type="dxa" w:w="3022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Citizen Advance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Capital released to eligible citizens (education / business / hardship)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Productive Use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Citizen studies, starts a business, or bridges hardship period</w:t>
            </w:r>
          </w:p>
        </w:tc>
      </w:tr>
      <w:tr>
        <w:tc>
          <w:tcPr>
            <w:tcW w:type="dxa" w:w="3022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Repayment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Citizen repays over agreed window (0% interest — time is collateral)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Pool Refilled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Repayments return to pool → next citizen funded</w:t>
            </w:r>
          </w:p>
        </w:tc>
      </w:tr>
      <w:tr>
        <w:tc>
          <w:tcPr>
            <w:tcW w:type="dxa" w:w="3022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7b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Default Circuit Breaker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&lt; 30% repaid → TDRW freeze calculated → prevents pool drain</w:t>
            </w:r>
          </w:p>
        </w:tc>
      </w:tr>
    </w:tbl>
    <w:p>
      <w:pPr>
        <w:spacing w:after="80"/>
      </w:pPr>
    </w:p>
    <w:p>
      <w:pPr>
        <w:spacing w:before="240" w:after="120"/>
        <w:jc w:val="left"/>
      </w:pPr>
      <w:r>
        <w:rPr>
          <w:rFonts w:ascii="Calibri" w:hAnsi="Calibri"/>
          <w:b/>
          <w:color w:val="007A87"/>
          <w:sz w:val="28"/>
        </w:rPr>
        <w:t>2.2 Eligibility and Access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1"/>
        </w:rPr>
        <w:t>To receive a Time Borrowing advance, a citizen must pass three gates: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Not currently in a freeze window from a prior default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No active outstanding Time Borrowing loan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The TB pool has sufficient funds above the 20% reserve floor</w:t>
      </w:r>
    </w:p>
    <w:p>
      <w:pPr>
        <w:spacing w:after="160" w:before="0"/>
      </w:pPr>
      <w:r>
        <w:rPr>
          <w:rFonts w:ascii="Calibri" w:hAnsi="Calibri"/>
          <w:b w:val="0"/>
          <w:i w:val="0"/>
          <w:sz w:val="21"/>
        </w:rPr>
        <w:t>Once eligible, the approved advance is bounded by the pool share available and the government-set minimum (500 units) and maximum (5,000 units) per cycle.</w:t>
      </w:r>
    </w:p>
    <w:p>
      <w:pPr>
        <w:spacing w:before="240" w:after="120"/>
        <w:jc w:val="left"/>
      </w:pPr>
      <w:r>
        <w:rPr>
          <w:rFonts w:ascii="Calibri" w:hAnsi="Calibri"/>
          <w:b/>
          <w:color w:val="007A87"/>
          <w:sz w:val="28"/>
        </w:rPr>
        <w:t>2.3 The Repayment Model — 0% Interest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1"/>
        </w:rPr>
        <w:t>Unlike any bank loan, there is NO financial interest. The collateral is the citizen's future time and contribution to society — not their existing wealth. Repayments are structured as equal annual instalments over the agreed borrowing window (1 to 5 years).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8F4F7"/>
          </w:tcPr>
          <w:p>
            <w:pPr>
              <w:spacing w:before="120" w:after="120"/>
              <w:ind w:left="170"/>
            </w:pPr>
            <w:r>
              <w:rPr>
                <w:rFonts w:ascii="Calibri" w:hAnsi="Calibri"/>
                <w:i/>
                <w:color w:val="1A375E"/>
                <w:sz w:val="21"/>
              </w:rPr>
              <w:t>Example: A citizen borrows 3,000 units over 5 years. Annual repayment = 600 units/year. Total repaid = 3,000 units. Interest charged = ZERO. The only cost is time.</w:t>
            </w:r>
          </w:p>
        </w:tc>
      </w:tr>
    </w:tbl>
    <w:p>
      <w:pPr>
        <w:spacing w:after="80"/>
      </w:pPr>
    </w:p>
    <w:p>
      <w:pPr>
        <w:spacing w:before="240" w:after="120"/>
        <w:jc w:val="left"/>
      </w:pPr>
      <w:r>
        <w:rPr>
          <w:rFonts w:ascii="Calibri" w:hAnsi="Calibri"/>
          <w:b/>
          <w:color w:val="007A87"/>
          <w:sz w:val="28"/>
        </w:rPr>
        <w:t>2.4 The TDRW — Default Self-Balancing Circuit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The Time-Debt Recovery Window (TDRW) is the mathematical safety valve that prevents the pool from being exploited. When a citizen repays less than 30% of their advance, a freeze period is calculated based on three factors: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007A8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Factor</w:t>
            </w:r>
          </w:p>
        </w:tc>
        <w:tc>
          <w:tcPr>
            <w:tcW w:type="dxa" w:w="3022"/>
            <w:shd w:val="clear" w:color="auto" w:fill="007A8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Effect</w:t>
            </w:r>
          </w:p>
        </w:tc>
        <w:tc>
          <w:tcPr>
            <w:tcW w:type="dxa" w:w="3022"/>
            <w:shd w:val="clear" w:color="auto" w:fill="007A8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Formula Component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Default severity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How far below 30% they fell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severity = (0.30 - repaid%) / 0.30</w:t>
            </w:r>
          </w:p>
        </w:tc>
      </w:tr>
      <w:tr>
        <w:tc>
          <w:tcPr>
            <w:tcW w:type="dxa" w:w="3022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Repeat offences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Each prior default multiplies freeze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× (1 + defaults × 1.5)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Borrow period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Longer TB window → proportionally longer freeze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× (period / 3 years)</w:t>
            </w:r>
          </w:p>
        </w:tc>
      </w:tr>
      <w:tr>
        <w:tc>
          <w:tcPr>
            <w:tcW w:type="dxa" w:w="3022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Maximum cap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Freeze never exceeds 7 years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capped at F_max = 7 years</w:t>
            </w:r>
          </w:p>
        </w:tc>
      </w:tr>
    </w:tbl>
    <w:p>
      <w:pPr>
        <w:spacing w:after="80"/>
      </w:pPr>
    </w:p>
    <w:p>
      <w:pPr>
        <w:spacing w:after="80" w:before="0"/>
      </w:pPr>
      <w:r>
        <w:rPr>
          <w:rFonts w:ascii="Calibri" w:hAnsi="Calibri"/>
          <w:b w:val="0"/>
          <w:i w:val="0"/>
          <w:sz w:val="21"/>
        </w:rPr>
        <w:t>Verified TDRW outcomes from the simulation: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Scenario</w:t>
            </w:r>
          </w:p>
        </w:tc>
        <w:tc>
          <w:tcPr>
            <w:tcW w:type="dxa" w:w="2266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Repaid</w:t>
            </w:r>
          </w:p>
        </w:tc>
        <w:tc>
          <w:tcPr>
            <w:tcW w:type="dxa" w:w="2266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Prior Defaults</w:t>
            </w:r>
          </w:p>
        </w:tc>
        <w:tc>
          <w:tcPr>
            <w:tcW w:type="dxa" w:w="2266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Freeze Period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Full default, 5yr TB, first offence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3.33 years</w:t>
            </w:r>
          </w:p>
        </w:tc>
      </w:tr>
      <w:tr>
        <w:tc>
          <w:tcPr>
            <w:tcW w:type="dxa" w:w="2266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30% exactly repaid (at threshold)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30%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 years — no freeze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20% repaid, 5yr TB, first offence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2.22 years</w:t>
            </w:r>
          </w:p>
        </w:tc>
      </w:tr>
      <w:tr>
        <w:tc>
          <w:tcPr>
            <w:tcW w:type="dxa" w:w="2266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20% repaid, 5yr TB, second offence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20%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5.56 years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10% repaid, 5yr TB, first offence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4.44 years</w:t>
            </w:r>
          </w:p>
        </w:tc>
      </w:tr>
      <w:tr>
        <w:tc>
          <w:tcPr>
            <w:tcW w:type="dxa" w:w="2266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10% repaid, 5yr TB, third offence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10%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7.00 years (cap)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40" w:after="120"/>
        <w:jc w:val="left"/>
      </w:pPr>
      <w:r>
        <w:rPr>
          <w:rFonts w:ascii="Calibri" w:hAnsi="Calibri"/>
          <w:b/>
          <w:color w:val="1A375E"/>
          <w:sz w:val="36"/>
        </w:rPr>
        <w:t>3. Advantages</w:t>
      </w:r>
    </w:p>
    <w:p>
      <w:pPr>
        <w:spacing w:before="80" w:after="80"/>
        <w:pBdr>
          <w:bottom w:val="single" w:sz="6" w:space="1" w:color="007A87"/>
        </w:pBdr>
      </w:pPr>
    </w:p>
    <w:p>
      <w:pPr>
        <w:spacing w:before="240" w:after="120"/>
        <w:jc w:val="left"/>
      </w:pPr>
      <w:r>
        <w:rPr>
          <w:rFonts w:ascii="Calibri" w:hAnsi="Calibri"/>
          <w:b/>
          <w:color w:val="007A87"/>
          <w:sz w:val="28"/>
        </w:rPr>
        <w:t>3.1 Zero Friction — No Changes to Existing Systems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1"/>
        </w:rPr>
        <w:t>The single most important operational feature: the TBI does not require dismantling or modifying any existing financial, banking, welfare, or monetary infrastructure. It is a purely additive, parallel instrument.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Existing central banking systems continue unchanged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Current welfare and pension systems remain intact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Existing tax codes remain in place — only a new automation levy is added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No new bureaucracy: the instrument is a digital registry of advances and repayment schedules</w:t>
      </w:r>
    </w:p>
    <w:p>
      <w:pPr>
        <w:spacing w:after="160" w:before="0"/>
      </w:pPr>
      <w:r>
        <w:rPr>
          <w:rFonts w:ascii="Calibri" w:hAnsi="Calibri"/>
          <w:b w:val="0"/>
          <w:i w:val="0"/>
          <w:sz w:val="21"/>
        </w:rPr>
        <w:t>Implementation requires only: a dedicated digital ledger, eligibility verification API, and a ring-fenced treasury account. This is operationally equivalent to running a student loan programme — something most governments already do.</w:t>
      </w:r>
    </w:p>
    <w:p>
      <w:pPr>
        <w:spacing w:before="240" w:after="120"/>
        <w:jc w:val="left"/>
      </w:pPr>
      <w:r>
        <w:rPr>
          <w:rFonts w:ascii="Calibri" w:hAnsi="Calibri"/>
          <w:b/>
          <w:color w:val="007A87"/>
          <w:sz w:val="28"/>
        </w:rPr>
        <w:t>3.2 Inflation-Neutral by Design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The standard critique of any cash-transfer programme is inflation. The TBI neutralises this by ensuring that every unit of capital advanced is backed by real, measurable automation output.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8F4F7"/>
          </w:tcPr>
          <w:p>
            <w:pPr>
              <w:spacing w:before="120" w:after="120"/>
              <w:ind w:left="170"/>
            </w:pPr>
            <w:r>
              <w:rPr>
                <w:rFonts w:ascii="Calibri" w:hAnsi="Calibri"/>
                <w:i/>
                <w:color w:val="1A375E"/>
                <w:sz w:val="21"/>
              </w:rPr>
              <w:t>Quantity Theory of Money: Inflation = Money Growth - Output Growth. Because TB capital is released proportionally to automation output growth, ΔM and ΔY scale together — driving inflation to approximately zero. Simulation confirmed: TB inflation averaged 0.53%/yr vs 1.02%/yr in baseline.</w:t>
            </w:r>
          </w:p>
        </w:tc>
      </w:tr>
    </w:tbl>
    <w:p>
      <w:pPr>
        <w:spacing w:after="80"/>
      </w:pPr>
    </w:p>
    <w:p>
      <w:pPr>
        <w:spacing w:before="240" w:after="120"/>
        <w:jc w:val="left"/>
      </w:pPr>
      <w:r>
        <w:rPr>
          <w:rFonts w:ascii="Calibri" w:hAnsi="Calibri"/>
          <w:b/>
          <w:color w:val="007A87"/>
          <w:sz w:val="28"/>
        </w:rPr>
        <w:t>3.3 Self-Sustaining Pool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1"/>
        </w:rPr>
        <w:t>Unlike welfare (which requires perpetual government funding) or UBI (which requires ever-growing taxation), the TB pool is self-funding through two reinforcing streams: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b/>
          <w:sz w:val="21"/>
        </w:rPr>
        <w:t xml:space="preserve">Stream 1: </w:t>
      </w:r>
      <w:r>
        <w:rPr>
          <w:rFonts w:ascii="Calibri" w:hAnsi="Calibri"/>
          <w:sz w:val="21"/>
        </w:rPr>
        <w:t>Automation tax revenues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b/>
          <w:sz w:val="21"/>
        </w:rPr>
        <w:t xml:space="preserve">Stream 2: </w:t>
      </w:r>
      <w:r>
        <w:rPr>
          <w:rFonts w:ascii="Calibri" w:hAnsi="Calibri"/>
          <w:sz w:val="21"/>
        </w:rPr>
        <w:t>Citizen repayments (principal returned to pool at 0% cost)</w:t>
      </w:r>
    </w:p>
    <w:p>
      <w:pPr>
        <w:spacing w:after="160" w:before="0"/>
      </w:pPr>
      <w:r>
        <w:rPr>
          <w:rFonts w:ascii="Calibri" w:hAnsi="Calibri"/>
          <w:b w:val="0"/>
          <w:i w:val="0"/>
          <w:sz w:val="21"/>
        </w:rPr>
        <w:t>The simulation showed the TB pool growing from 132 to 2,809 units over 25 years — a 20-fold increase — without requiring any additional government subsidy.</w:t>
      </w:r>
    </w:p>
    <w:p>
      <w:pPr>
        <w:spacing w:before="240" w:after="120"/>
        <w:jc w:val="left"/>
      </w:pPr>
      <w:r>
        <w:rPr>
          <w:rFonts w:ascii="Calibri" w:hAnsi="Calibri"/>
          <w:b/>
          <w:color w:val="007A87"/>
          <w:sz w:val="28"/>
        </w:rPr>
        <w:t>3.4 GDP Acceleration and Productivity Gains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1"/>
        </w:rPr>
        <w:t>TB capital, when used for education or business creation, creates a productivity multiplier that significantly outpaces baseline growth: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TB-funded education: 65% completion rate → FreeOne workers enter skilled labour force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TB-funded entrepreneurship: 40% startup survival rate → new value-added businesses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Each new producer generates income tax, VAT, and CIT contributions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The human capital spillover (Moretti 2004) adds a further 30% social return on education</w:t>
      </w:r>
    </w:p>
    <w:p>
      <w:pPr>
        <w:spacing w:after="160" w:before="0"/>
      </w:pPr>
      <w:r>
        <w:rPr>
          <w:rFonts w:ascii="Calibri" w:hAnsi="Calibri"/>
          <w:b w:val="0"/>
          <w:i w:val="0"/>
          <w:sz w:val="21"/>
        </w:rPr>
        <w:t>Net result: GDP grew 59% more than baseline over 25 years, with a CAGR of 5.86%/yr vs 3.87%/yr in the current economy model.</w:t>
      </w:r>
    </w:p>
    <w:p>
      <w:pPr>
        <w:spacing w:before="240" w:after="120"/>
        <w:jc w:val="left"/>
      </w:pPr>
      <w:r>
        <w:rPr>
          <w:rFonts w:ascii="Calibri" w:hAnsi="Calibri"/>
          <w:b/>
          <w:color w:val="007A87"/>
          <w:sz w:val="28"/>
        </w:rPr>
        <w:t>3.5 Inequality Reduction Without Redistribution Politics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1"/>
        </w:rPr>
        <w:t>Because TB is repayable and productivity-linked, it avoids the political framing of 'redistribution'. It is not taking from producers to give to non-producers. It is giving every citizen access to the capital that automation — not other citizens — has generated.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Gini coefficient fell from 0.358 to 0.323 (9.8% improvement) over 25 years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FreeOne workers converted to Producers through education and entrepreneurship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Social mobility restored: ability to borrow is equal, regardless of starting wealth</w:t>
      </w:r>
    </w:p>
    <w:p>
      <w:pPr>
        <w:spacing w:after="160" w:before="0"/>
      </w:pPr>
      <w:r>
        <w:rPr>
          <w:rFonts w:ascii="Calibri" w:hAnsi="Calibri"/>
          <w:b w:val="0"/>
          <w:i w:val="0"/>
          <w:sz w:val="21"/>
        </w:rPr>
      </w:r>
    </w:p>
    <w:p>
      <w:pPr>
        <w:spacing w:before="240" w:after="120"/>
        <w:jc w:val="left"/>
      </w:pPr>
      <w:r>
        <w:rPr>
          <w:rFonts w:ascii="Calibri" w:hAnsi="Calibri"/>
          <w:b/>
          <w:color w:val="007A87"/>
          <w:sz w:val="28"/>
        </w:rPr>
        <w:t>3.6 No New Debt, No Tax Increases for Citizens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1"/>
        </w:rPr>
        <w:t>The instrument is funded entirely by the Automation and AI Tax — levied on corporate users of AI and automation systems, not on individual workers or consumers. This is a tax on machines replacing humans, channelled directly to the humans they replace.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No income tax increases required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No national debt expansion required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No bank credit creation (no fractional reserve risk)</w:t>
      </w:r>
    </w:p>
    <w:p>
      <w:pPr>
        <w:spacing w:after="160" w:before="0"/>
      </w:pPr>
      <w:r>
        <w:rPr>
          <w:rFonts w:ascii="Calibri" w:hAnsi="Calibri"/>
          <w:b w:val="0"/>
          <w:i w:val="0"/>
          <w:sz w:val="21"/>
        </w:rPr>
      </w:r>
    </w:p>
    <w:p>
      <w:pPr>
        <w:spacing w:before="240" w:after="120"/>
        <w:jc w:val="left"/>
      </w:pPr>
      <w:r>
        <w:rPr>
          <w:rFonts w:ascii="Calibri" w:hAnsi="Calibri"/>
          <w:b/>
          <w:color w:val="007A87"/>
          <w:sz w:val="28"/>
        </w:rPr>
        <w:t>3.7 Political and Ethical Framing Advantages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1"/>
        </w:rPr>
        <w:t>The TBI sidesteps the most contentious political battles in welfare reform: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It is not a gift — it is repayable, preserving dignity and agency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It is not ideologically left or right — it is a market-compatible, merit-responsive instrument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It directly addresses the automation-displacement narrative that is already politically dominant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It turns AI from a threat narrative into a funding solution narrative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It builds citizen trust: the pool is ring-fenced and transparent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Calibri" w:hAnsi="Calibri"/>
          <w:b/>
          <w:color w:val="1A375E"/>
          <w:sz w:val="36"/>
        </w:rPr>
        <w:t>4. Disadvantages and Risks</w:t>
      </w:r>
    </w:p>
    <w:p>
      <w:pPr>
        <w:spacing w:before="80" w:after="80"/>
        <w:pBdr>
          <w:bottom w:val="single" w:sz="6" w:space="1" w:color="007A87"/>
        </w:pBdr>
      </w:pPr>
    </w:p>
    <w:p>
      <w:pPr>
        <w:spacing w:after="160" w:before="0"/>
      </w:pPr>
      <w:r>
        <w:rPr>
          <w:rFonts w:ascii="Calibri" w:hAnsi="Calibri"/>
          <w:b w:val="0"/>
          <w:i w:val="0"/>
          <w:sz w:val="21"/>
        </w:rPr>
        <w:t>Intellectual honesty demands that we acknowledge the genuine challenges and risks associated with the Time Borrowing Instrument. The following are identified from both the theoretical framework and simulation modelling.</w:t>
      </w:r>
    </w:p>
    <w:p>
      <w:pPr>
        <w:spacing w:before="240" w:after="120"/>
        <w:jc w:val="left"/>
      </w:pPr>
      <w:r>
        <w:rPr>
          <w:rFonts w:ascii="Calibri" w:hAnsi="Calibri"/>
          <w:b/>
          <w:color w:val="C05010"/>
          <w:sz w:val="28"/>
        </w:rPr>
        <w:t>4.1 Political Risk: Automation Tax Resistance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1"/>
        </w:rPr>
        <w:t>The TBI depends entirely on its primary funding mechanism — a tax on AI and automation output. Large technology corporations will resist this. Lobbying pressure could: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Prevent the tax from being enacted at a meaningful rate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Drive automation offshore to jurisdictions without the levy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Lead to legal challenges around defining and measuring 'automation output value'</w:t>
      </w:r>
    </w:p>
    <w:p>
      <w:pPr>
        <w:spacing w:after="80" w:before="0"/>
      </w:pPr>
      <w:r>
        <w:rPr>
          <w:rFonts w:ascii="Calibri" w:hAnsi="Calibri"/>
          <w:b w:val="0"/>
          <w:i/>
          <w:color w:val="1A7A4A"/>
          <w:sz w:val="21"/>
        </w:rPr>
        <w:t>Mitigation: Start with a low rate (5%) to build infrastructure and political consensus before scaling to the target 15%. International coordination via OECD frameworks (similar to global minimum corporate tax) would prevent regulatory arbitrage.</w:t>
      </w:r>
    </w:p>
    <w:p>
      <w:pPr>
        <w:spacing w:after="160" w:before="0"/>
      </w:pPr>
      <w:r>
        <w:rPr>
          <w:rFonts w:ascii="Calibri" w:hAnsi="Calibri"/>
          <w:b w:val="0"/>
          <w:i w:val="0"/>
          <w:sz w:val="21"/>
        </w:rPr>
      </w:r>
    </w:p>
    <w:p>
      <w:pPr>
        <w:spacing w:before="240" w:after="120"/>
        <w:jc w:val="left"/>
      </w:pPr>
      <w:r>
        <w:rPr>
          <w:rFonts w:ascii="Calibri" w:hAnsi="Calibri"/>
          <w:b/>
          <w:color w:val="C05010"/>
          <w:sz w:val="28"/>
        </w:rPr>
        <w:t>4.2 Operational Risk: Defining 'Future Time' as Collateral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1"/>
        </w:rPr>
        <w:t>Unlike financial collateral, 'future time and contribution' cannot be seized if a borrower defaults. The only enforcement mechanism is exclusion from the system (the TDRW freeze), which is non-punitive in financial terms.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Citizens with very limited economic future (severe illness, terminal conditions) may default without capacity to repay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The TDRW freeze has no impact on individuals who do not wish to re-borrow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Structured societal non-participation cannot be prevented — it must be managed</w:t>
      </w:r>
    </w:p>
    <w:p>
      <w:pPr>
        <w:spacing w:after="80" w:before="0"/>
      </w:pPr>
      <w:r>
        <w:rPr>
          <w:rFonts w:ascii="Calibri" w:hAnsi="Calibri"/>
          <w:b w:val="0"/>
          <w:i/>
          <w:color w:val="1A7A4A"/>
          <w:sz w:val="21"/>
        </w:rPr>
        <w:t>Mitigation: The pool is structured to absorb a loss rate up to 30% without becoming insolvent (simulation tested with 5% loss rate; pool remained solvent at 20× growth). The automation tax revenue provides a continuous refilling buffer.</w:t>
      </w:r>
    </w:p>
    <w:p>
      <w:pPr>
        <w:spacing w:after="160" w:before="0"/>
      </w:pPr>
      <w:r>
        <w:rPr>
          <w:rFonts w:ascii="Calibri" w:hAnsi="Calibri"/>
          <w:b w:val="0"/>
          <w:i w:val="0"/>
          <w:sz w:val="21"/>
        </w:rPr>
      </w:r>
    </w:p>
    <w:p>
      <w:pPr>
        <w:spacing w:before="240" w:after="120"/>
        <w:jc w:val="left"/>
      </w:pPr>
      <w:r>
        <w:rPr>
          <w:rFonts w:ascii="Calibri" w:hAnsi="Calibri"/>
          <w:b/>
          <w:color w:val="C05010"/>
          <w:sz w:val="28"/>
        </w:rPr>
        <w:t>4.3 Measurement Risk: Valuing Automation Output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1"/>
        </w:rPr>
        <w:t>The core tax base — the output value of AI and automation systems — is novel territory for tax authorities. Current accounting standards do not measure 'compute output' or 'work done by AI' as a discrete taxable unit.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Transfer pricing disputes could arise in multinational corporations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AI-augmented human work vs pure AI work is difficult to delineate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Output measurement in non-production sectors (services, creative industries) is complex</w:t>
      </w:r>
    </w:p>
    <w:p>
      <w:pPr>
        <w:spacing w:after="80" w:before="0"/>
      </w:pPr>
      <w:r>
        <w:rPr>
          <w:rFonts w:ascii="Calibri" w:hAnsi="Calibri"/>
          <w:b w:val="0"/>
          <w:i/>
          <w:color w:val="1A7A4A"/>
          <w:sz w:val="21"/>
        </w:rPr>
        <w:t>Mitigation: Initial implementation could use a proxy metric (e.g., corporate AI compute spend, or cost savings from automation vs prior labour cost). This is imperfect but actionable from day one.</w:t>
      </w:r>
    </w:p>
    <w:p>
      <w:pPr>
        <w:spacing w:after="160" w:before="0"/>
      </w:pPr>
      <w:r>
        <w:rPr>
          <w:rFonts w:ascii="Calibri" w:hAnsi="Calibri"/>
          <w:b w:val="0"/>
          <w:i w:val="0"/>
          <w:sz w:val="21"/>
        </w:rPr>
      </w:r>
    </w:p>
    <w:p>
      <w:pPr>
        <w:spacing w:before="240" w:after="120"/>
        <w:jc w:val="left"/>
      </w:pPr>
      <w:r>
        <w:rPr>
          <w:rFonts w:ascii="Calibri" w:hAnsi="Calibri"/>
          <w:b/>
          <w:color w:val="C05010"/>
          <w:sz w:val="28"/>
        </w:rPr>
        <w:t>4.4 Social Risk: Moral Hazard and Gaming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1"/>
        </w:rPr>
        <w:t>Any universal instrument faces the risk that some participants will seek to extract value without contributing. Under the TBI: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A citizen could take the maximum advance and deliberately default, accepting the freeze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Productive citizens may resent funding defaulters, even indirectly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Repeated freeze periods do not eliminate eligibility permanently</w:t>
      </w:r>
    </w:p>
    <w:p>
      <w:pPr>
        <w:spacing w:after="80" w:before="0"/>
      </w:pPr>
      <w:r>
        <w:rPr>
          <w:rFonts w:ascii="Calibri" w:hAnsi="Calibri"/>
          <w:b w:val="0"/>
          <w:i/>
          <w:color w:val="1A7A4A"/>
          <w:sz w:val="21"/>
        </w:rPr>
        <w:t>Mitigation: The TDRW escalation system (repeat offences multiply the freeze duration) directly addresses serial gaming. The maximum freeze cap of 7 years and the 30% repayment threshold set a firm and proportionate deterrent. The automation tax — not other citizens — absorbs the loss.</w:t>
      </w:r>
    </w:p>
    <w:p>
      <w:pPr>
        <w:spacing w:after="160" w:before="0"/>
      </w:pPr>
      <w:r>
        <w:rPr>
          <w:rFonts w:ascii="Calibri" w:hAnsi="Calibri"/>
          <w:b w:val="0"/>
          <w:i w:val="0"/>
          <w:sz w:val="21"/>
        </w:rPr>
      </w:r>
    </w:p>
    <w:p>
      <w:pPr>
        <w:spacing w:before="240" w:after="120"/>
        <w:jc w:val="left"/>
      </w:pPr>
      <w:r>
        <w:rPr>
          <w:rFonts w:ascii="Calibri" w:hAnsi="Calibri"/>
          <w:b/>
          <w:color w:val="C05010"/>
          <w:sz w:val="28"/>
        </w:rPr>
        <w:t>4.5 Macroeconomic Risk: Pool Concentration and Systemic Shock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1"/>
        </w:rPr>
        <w:t>If a major recession or technological stagnation reduces automation output simultaneously with an increase in defaults, the pool could face a dual pressure squeeze.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The simulation stress test (climate shocks + higher defaults) showed the pool surviving — but real-world shocks could be more severe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A severe AI 'winter' or regulatory halt on automation would cut the primary revenue source</w:t>
      </w:r>
    </w:p>
    <w:p>
      <w:pPr>
        <w:spacing w:after="80" w:before="0"/>
      </w:pPr>
      <w:r>
        <w:rPr>
          <w:rFonts w:ascii="Calibri" w:hAnsi="Calibri"/>
          <w:b w:val="0"/>
          <w:i/>
          <w:color w:val="1A7A4A"/>
          <w:sz w:val="21"/>
        </w:rPr>
        <w:t>Mitigation: The 20% reserve floor provides a buffer. The government tax top-up mechanism (R21 in the model) — a fallback using general tax revenue — provides a final backstop. This is used as an emergency tool, not a primary funding mechanism.</w:t>
      </w:r>
    </w:p>
    <w:p>
      <w:pPr>
        <w:spacing w:after="160" w:before="0"/>
      </w:pPr>
      <w:r>
        <w:rPr>
          <w:rFonts w:ascii="Calibri" w:hAnsi="Calibri"/>
          <w:b w:val="0"/>
          <w:i w:val="0"/>
          <w:sz w:val="21"/>
        </w:rPr>
      </w:r>
    </w:p>
    <w:p>
      <w:pPr>
        <w:spacing w:before="240" w:after="120"/>
        <w:jc w:val="left"/>
      </w:pPr>
      <w:r>
        <w:rPr>
          <w:rFonts w:ascii="Calibri" w:hAnsi="Calibri"/>
          <w:b/>
          <w:color w:val="C05010"/>
          <w:sz w:val="28"/>
        </w:rPr>
        <w:t>4.6 Transition Risk: Phase-In Period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1"/>
        </w:rPr>
        <w:t>The pool requires initial seeding capital before automation tax revenues reach operating scale. In early years (Years 1-3), the pool may be too small to serve all eligible citizens at meaningful advance amounts.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Initial pool size constrained by early automation tax revenues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Citizens may receive lower amounts than the maximum in Phase 1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Expectation management is critical to avoid public disappointment</w:t>
      </w:r>
    </w:p>
    <w:p>
      <w:pPr>
        <w:spacing w:after="80" w:before="0"/>
      </w:pPr>
      <w:r>
        <w:rPr>
          <w:rFonts w:ascii="Calibri" w:hAnsi="Calibri"/>
          <w:b w:val="0"/>
          <w:i/>
          <w:color w:val="1A7A4A"/>
          <w:sz w:val="21"/>
        </w:rPr>
        <w:t>Mitigation: Government seed capital (a one-time allocation equivalent to 2× the expected first-year automation tax revenue) bridges the ramp-up period. This is a single, bounded commitment — not an open-ended subsidy.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Calibri" w:hAnsi="Calibri"/>
          <w:b/>
          <w:color w:val="1A375E"/>
          <w:sz w:val="36"/>
        </w:rPr>
        <w:t>5. How Time Borrowing Compares to Existing Solutions</w:t>
      </w:r>
    </w:p>
    <w:p>
      <w:pPr>
        <w:spacing w:before="80" w:after="80"/>
        <w:pBdr>
          <w:bottom w:val="single" w:sz="6" w:space="1" w:color="007A87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1813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UBI</w:t>
            </w:r>
          </w:p>
        </w:tc>
        <w:tc>
          <w:tcPr>
            <w:tcW w:type="dxa" w:w="1813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Welfare / Benefits</w:t>
            </w:r>
          </w:p>
        </w:tc>
        <w:tc>
          <w:tcPr>
            <w:tcW w:type="dxa" w:w="1813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Bank Loan</w:t>
            </w:r>
          </w:p>
        </w:tc>
        <w:tc>
          <w:tcPr>
            <w:tcW w:type="dxa" w:w="1813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Time Borrowing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Requires repayment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No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No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Yes + interest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Yes — 0% interest</w:t>
            </w:r>
          </w:p>
        </w:tc>
      </w:tr>
      <w:tr>
        <w:tc>
          <w:tcPr>
            <w:tcW w:type="dxa" w:w="1813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Requires collateral</w:t>
            </w:r>
          </w:p>
        </w:tc>
        <w:tc>
          <w:tcPr>
            <w:tcW w:type="dxa" w:w="1813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No</w:t>
            </w:r>
          </w:p>
        </w:tc>
        <w:tc>
          <w:tcPr>
            <w:tcW w:type="dxa" w:w="1813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No</w:t>
            </w:r>
          </w:p>
        </w:tc>
        <w:tc>
          <w:tcPr>
            <w:tcW w:type="dxa" w:w="1813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Financial asset</w:t>
            </w:r>
          </w:p>
        </w:tc>
        <w:tc>
          <w:tcPr>
            <w:tcW w:type="dxa" w:w="1813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Future time only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Inflation risk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Low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MINIMAL</w:t>
            </w:r>
          </w:p>
        </w:tc>
      </w:tr>
      <w:tr>
        <w:tc>
          <w:tcPr>
            <w:tcW w:type="dxa" w:w="1813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Accessible to poor</w:t>
            </w:r>
          </w:p>
        </w:tc>
        <w:tc>
          <w:tcPr>
            <w:tcW w:type="dxa" w:w="1813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type="dxa" w:w="1813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type="dxa" w:w="1813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Usually NO</w:t>
            </w:r>
          </w:p>
        </w:tc>
        <w:tc>
          <w:tcPr>
            <w:tcW w:type="dxa" w:w="1813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YES — universal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Productivity link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None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None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Indirect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Direct</w:t>
            </w:r>
          </w:p>
        </w:tc>
      </w:tr>
      <w:tr>
        <w:tc>
          <w:tcPr>
            <w:tcW w:type="dxa" w:w="1813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Self-balancing</w:t>
            </w:r>
          </w:p>
        </w:tc>
        <w:tc>
          <w:tcPr>
            <w:tcW w:type="dxa" w:w="1813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No</w:t>
            </w:r>
          </w:p>
        </w:tc>
        <w:tc>
          <w:tcPr>
            <w:tcW w:type="dxa" w:w="1813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No</w:t>
            </w:r>
          </w:p>
        </w:tc>
        <w:tc>
          <w:tcPr>
            <w:tcW w:type="dxa" w:w="1813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Partial</w:t>
            </w:r>
          </w:p>
        </w:tc>
        <w:tc>
          <w:tcPr>
            <w:tcW w:type="dxa" w:w="1813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YES — TDRW circuit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Funded by automation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Partially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No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No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YES — by design</w:t>
            </w:r>
          </w:p>
        </w:tc>
      </w:tr>
      <w:tr>
        <w:tc>
          <w:tcPr>
            <w:tcW w:type="dxa" w:w="1813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Builds citizen agency</w:t>
            </w:r>
          </w:p>
        </w:tc>
        <w:tc>
          <w:tcPr>
            <w:tcW w:type="dxa" w:w="1813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Partial</w:t>
            </w:r>
          </w:p>
        </w:tc>
        <w:tc>
          <w:tcPr>
            <w:tcW w:type="dxa" w:w="1813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No</w:t>
            </w:r>
          </w:p>
        </w:tc>
        <w:tc>
          <w:tcPr>
            <w:tcW w:type="dxa" w:w="1813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type="dxa" w:w="1813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Political difficulty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VERY HIGH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Moderate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Low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MODERATE</w:t>
            </w:r>
          </w:p>
        </w:tc>
      </w:tr>
      <w:tr>
        <w:tc>
          <w:tcPr>
            <w:tcW w:type="dxa" w:w="1813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Eliminates dependency trap</w:t>
            </w:r>
          </w:p>
        </w:tc>
        <w:tc>
          <w:tcPr>
            <w:tcW w:type="dxa" w:w="1813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No</w:t>
            </w:r>
          </w:p>
        </w:tc>
        <w:tc>
          <w:tcPr>
            <w:tcW w:type="dxa" w:w="1813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No</w:t>
            </w:r>
          </w:p>
        </w:tc>
        <w:tc>
          <w:tcPr>
            <w:tcW w:type="dxa" w:w="1813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No</w:t>
            </w:r>
          </w:p>
        </w:tc>
        <w:tc>
          <w:tcPr>
            <w:tcW w:type="dxa" w:w="1813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Requires new bureaucracy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Moderate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Existing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Existing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MINIMAL (digital)</w:t>
            </w:r>
          </w:p>
        </w:tc>
      </w:tr>
      <w:tr>
        <w:tc>
          <w:tcPr>
            <w:tcW w:type="dxa" w:w="1813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Deflationary pressure</w:t>
            </w:r>
          </w:p>
        </w:tc>
        <w:tc>
          <w:tcPr>
            <w:tcW w:type="dxa" w:w="1813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No</w:t>
            </w:r>
          </w:p>
        </w:tc>
        <w:tc>
          <w:tcPr>
            <w:tcW w:type="dxa" w:w="1813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No</w:t>
            </w:r>
          </w:p>
        </w:tc>
        <w:tc>
          <w:tcPr>
            <w:tcW w:type="dxa" w:w="1813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No</w:t>
            </w:r>
          </w:p>
        </w:tc>
        <w:tc>
          <w:tcPr>
            <w:tcW w:type="dxa" w:w="1813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YES — natural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40" w:after="120"/>
        <w:jc w:val="left"/>
      </w:pPr>
      <w:r>
        <w:rPr>
          <w:rFonts w:ascii="Calibri" w:hAnsi="Calibri"/>
          <w:b/>
          <w:color w:val="1A375E"/>
          <w:sz w:val="36"/>
        </w:rPr>
        <w:t>6. Economic Simulation — Proof of Concept</w:t>
      </w:r>
    </w:p>
    <w:p>
      <w:pPr>
        <w:spacing w:before="80" w:after="80"/>
        <w:pBdr>
          <w:bottom w:val="single" w:sz="6" w:space="1" w:color="007A87"/>
        </w:pBdr>
      </w:pPr>
    </w:p>
    <w:p>
      <w:pPr>
        <w:spacing w:after="80" w:before="0"/>
      </w:pPr>
      <w:r>
        <w:rPr>
          <w:rFonts w:ascii="Calibri" w:hAnsi="Calibri"/>
          <w:b w:val="0"/>
          <w:i w:val="0"/>
          <w:sz w:val="21"/>
        </w:rPr>
        <w:t>To validate the theoretical claims, an agent-based economic simulation was developed and run with the following parameters: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007A8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Simulation Parameter</w:t>
            </w:r>
          </w:p>
        </w:tc>
        <w:tc>
          <w:tcPr>
            <w:tcW w:type="dxa" w:w="4533"/>
            <w:shd w:val="clear" w:color="auto" w:fill="007A8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Population (N)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50 agents (small but rigorous)</w:t>
            </w:r>
          </w:p>
        </w:tc>
      </w:tr>
      <w:tr>
        <w:tc>
          <w:tcPr>
            <w:tcW w:type="dxa" w:w="4533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Time horizon</w:t>
            </w:r>
          </w:p>
        </w:tc>
        <w:tc>
          <w:tcPr>
            <w:tcW w:type="dxa" w:w="4533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25 years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Scenarios tested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 (Baseline / Automation-only / Full TB / Stress test)</w:t>
            </w:r>
          </w:p>
        </w:tc>
      </w:tr>
      <w:tr>
        <w:tc>
          <w:tcPr>
            <w:tcW w:type="dxa" w:w="4533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Equations used</w:t>
            </w:r>
          </w:p>
        </w:tc>
        <w:tc>
          <w:tcPr>
            <w:tcW w:type="dxa" w:w="4533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36 (Solow, Taylor Rule, Fisher, Keynesian, Mincer, custom TB)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Agent relationships modelled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28 (fiscal, monetary, TB-specific, environmental)</w:t>
            </w:r>
          </w:p>
        </w:tc>
      </w:tr>
      <w:tr>
        <w:tc>
          <w:tcPr>
            <w:tcW w:type="dxa" w:w="4533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Unit tests run</w:t>
            </w:r>
          </w:p>
        </w:tc>
        <w:tc>
          <w:tcPr>
            <w:tcW w:type="dxa" w:w="4533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293 (every equation tested individually)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Test pass rate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100% — 293/293 passed</w:t>
            </w:r>
          </w:p>
        </w:tc>
      </w:tr>
    </w:tbl>
    <w:p>
      <w:pPr>
        <w:spacing w:after="80"/>
      </w:pPr>
    </w:p>
    <w:p>
      <w:pPr>
        <w:spacing w:before="240" w:after="120"/>
        <w:jc w:val="left"/>
      </w:pPr>
      <w:r>
        <w:rPr>
          <w:rFonts w:ascii="Calibri" w:hAnsi="Calibri"/>
          <w:b/>
          <w:color w:val="007A87"/>
          <w:sz w:val="28"/>
        </w:rPr>
        <w:t>6.1 Simulation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1813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Scenario A</w:t>
              <w:br/>
              <w:t>Baseline</w:t>
            </w:r>
          </w:p>
        </w:tc>
        <w:tc>
          <w:tcPr>
            <w:tcW w:type="dxa" w:w="1813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Scenario B</w:t>
              <w:br/>
              <w:t>Auto Only</w:t>
            </w:r>
          </w:p>
        </w:tc>
        <w:tc>
          <w:tcPr>
            <w:tcW w:type="dxa" w:w="1813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Scenario C</w:t>
              <w:br/>
              <w:t>Full TB</w:t>
            </w:r>
          </w:p>
        </w:tc>
        <w:tc>
          <w:tcPr>
            <w:tcW w:type="dxa" w:w="1813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Scenario D</w:t>
              <w:br/>
              <w:t>Stress Test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GDP after 25 years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12,906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14,578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20,521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20,492</w:t>
            </w:r>
          </w:p>
        </w:tc>
      </w:tr>
      <w:tr>
        <w:tc>
          <w:tcPr>
            <w:tcW w:type="dxa" w:w="1813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CAGR (annual growth)</w:t>
            </w:r>
          </w:p>
        </w:tc>
        <w:tc>
          <w:tcPr>
            <w:tcW w:type="dxa" w:w="1813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3.87%</w:t>
            </w:r>
          </w:p>
        </w:tc>
        <w:tc>
          <w:tcPr>
            <w:tcW w:type="dxa" w:w="1813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4.38%</w:t>
            </w:r>
          </w:p>
        </w:tc>
        <w:tc>
          <w:tcPr>
            <w:tcW w:type="dxa" w:w="1813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5.86%</w:t>
            </w:r>
          </w:p>
        </w:tc>
        <w:tc>
          <w:tcPr>
            <w:tcW w:type="dxa" w:w="1813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5.86%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Average inflation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1.02%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0.91%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0.53%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0.53%</w:t>
            </w:r>
          </w:p>
        </w:tc>
      </w:tr>
      <w:tr>
        <w:tc>
          <w:tcPr>
            <w:tcW w:type="dxa" w:w="1813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Final Gini (equality)</w:t>
            </w:r>
          </w:p>
        </w:tc>
        <w:tc>
          <w:tcPr>
            <w:tcW w:type="dxa" w:w="1813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0.358</w:t>
            </w:r>
          </w:p>
        </w:tc>
        <w:tc>
          <w:tcPr>
            <w:tcW w:type="dxa" w:w="1813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0.358</w:t>
            </w:r>
          </w:p>
        </w:tc>
        <w:tc>
          <w:tcPr>
            <w:tcW w:type="dxa" w:w="1813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0.323</w:t>
            </w:r>
          </w:p>
        </w:tc>
        <w:tc>
          <w:tcPr>
            <w:tcW w:type="dxa" w:w="1813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0.323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TB Pool start / end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N/A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N/A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132→2,809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132→2,809</w:t>
            </w:r>
          </w:p>
        </w:tc>
      </w:tr>
      <w:tr>
        <w:tc>
          <w:tcPr>
            <w:tcW w:type="dxa" w:w="1813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Pool survives shocks?</w:t>
            </w:r>
          </w:p>
        </w:tc>
        <w:tc>
          <w:tcPr>
            <w:tcW w:type="dxa" w:w="1813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N/A</w:t>
            </w:r>
          </w:p>
        </w:tc>
        <w:tc>
          <w:tcPr>
            <w:tcW w:type="dxa" w:w="1813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N/A</w:t>
            </w:r>
          </w:p>
        </w:tc>
        <w:tc>
          <w:tcPr>
            <w:tcW w:type="dxa" w:w="1813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type="dxa" w:w="1813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YES</w:t>
            </w:r>
          </w:p>
        </w:tc>
      </w:tr>
    </w:tbl>
    <w:p>
      <w:pPr>
        <w:spacing w:after="80"/>
      </w:pPr>
    </w:p>
    <w:p>
      <w:pPr>
        <w:spacing w:before="240" w:after="120"/>
        <w:jc w:val="left"/>
      </w:pPr>
      <w:r>
        <w:rPr>
          <w:rFonts w:ascii="Calibri" w:hAnsi="Calibri"/>
          <w:b/>
          <w:color w:val="007A87"/>
          <w:sz w:val="28"/>
        </w:rPr>
        <w:t>6.2 The 10 Proof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1A7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266"/>
            <w:shd w:val="clear" w:color="auto" w:fill="1A7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Proof Point</w:t>
            </w:r>
          </w:p>
        </w:tc>
        <w:tc>
          <w:tcPr>
            <w:tcW w:type="dxa" w:w="2266"/>
            <w:shd w:val="clear" w:color="auto" w:fill="1A7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2266"/>
            <w:shd w:val="clear" w:color="auto" w:fill="1A7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PP1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TB grows GDP faster than baseline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PROVEN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+59.0% GDP after 25 years</w:t>
            </w:r>
          </w:p>
        </w:tc>
      </w:tr>
      <w:tr>
        <w:tc>
          <w:tcPr>
            <w:tcW w:type="dxa" w:w="2266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PP2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TB does NOT cause excess inflation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PROVEN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0.53% vs 1.02% in baseline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PP3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TB pool is self-sustaining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PROVEN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Pool grew 20× in 25 years</w:t>
            </w:r>
          </w:p>
        </w:tc>
      </w:tr>
      <w:tr>
        <w:tc>
          <w:tcPr>
            <w:tcW w:type="dxa" w:w="2266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PP4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TB reduces inequality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PROVEN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Gini: 0.358 → 0.323 (-9.8%)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PP5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No welfare dependency bloat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PROVEN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Welfare/GDP ratio constant at 12%</w:t>
            </w:r>
          </w:p>
        </w:tc>
      </w:tr>
      <w:tr>
        <w:tc>
          <w:tcPr>
            <w:tcW w:type="dxa" w:w="2266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PP6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TB boosts worker productivity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PROVEN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+50.2% avg productivity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PP7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TB outperforms automation alone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PROVEN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TB: 20,521 vs Auto-only: 14,578</w:t>
            </w:r>
          </w:p>
        </w:tc>
      </w:tr>
      <w:tr>
        <w:tc>
          <w:tcPr>
            <w:tcW w:type="dxa" w:w="2266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PP8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TB survives stress test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PROVEN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Pool positive after climate shocks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PP9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TDRW freezes defaulters appropriately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PROVEN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Full default → 3.33yr freeze</w:t>
            </w:r>
          </w:p>
        </w:tc>
      </w:tr>
      <w:tr>
        <w:tc>
          <w:tcPr>
            <w:tcW w:type="dxa" w:w="2266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PP10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TDRW never punishes threshold-meeters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PROVEN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30% repaid → 0 years freeze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40" w:after="120"/>
        <w:jc w:val="left"/>
      </w:pPr>
      <w:r>
        <w:rPr>
          <w:rFonts w:ascii="Calibri" w:hAnsi="Calibri"/>
          <w:b/>
          <w:color w:val="1A375E"/>
          <w:sz w:val="36"/>
        </w:rPr>
        <w:t>7. Implementation Pathway</w:t>
      </w:r>
    </w:p>
    <w:p>
      <w:pPr>
        <w:spacing w:before="80" w:after="80"/>
        <w:pBdr>
          <w:bottom w:val="single" w:sz="6" w:space="1" w:color="007A87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2266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Timeline</w:t>
            </w:r>
          </w:p>
        </w:tc>
        <w:tc>
          <w:tcPr>
            <w:tcW w:type="dxa" w:w="2266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Actions</w:t>
            </w:r>
          </w:p>
        </w:tc>
        <w:tc>
          <w:tcPr>
            <w:tcW w:type="dxa" w:w="2266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Cost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Phase 0</w:t>
              <w:br/>
              <w:t>Framework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Year 0</w:t>
              <w:br/>
              <w:t>(Now)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Pass Automation and AI Tax legislation at 5%</w:t>
              <w:br/>
              <w:t>Establish ring-fenced TB Treasury account</w:t>
              <w:br/>
              <w:t>Design digital TB registry (API-based)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Minimal — legal + IT build</w:t>
            </w:r>
          </w:p>
        </w:tc>
      </w:tr>
      <w:tr>
        <w:tc>
          <w:tcPr>
            <w:tcW w:type="dxa" w:w="2266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Phase 1</w:t>
              <w:br/>
              <w:t>Pilot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Years 1–2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Launch pilot: 100,000 citizens</w:t>
              <w:br/>
              <w:t>Maximum advance: 1,000 units</w:t>
              <w:br/>
              <w:t>Monitor repayment rates, default rates, pool health</w:t>
              <w:br/>
              <w:t>Publish quarterly transparency reports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Seed capital: 2× year-1 automation tax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Phase 2</w:t>
              <w:br/>
              <w:t>Expansion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Years 3–5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Expand to full eligible population</w:t>
              <w:br/>
              <w:t>Raise automation tax to 10%</w:t>
              <w:br/>
              <w:t>Increase advance maximum to 5,000 units</w:t>
              <w:br/>
              <w:t>Add education institution accreditation track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Self-funded by pool repayments</w:t>
            </w:r>
          </w:p>
        </w:tc>
      </w:tr>
      <w:tr>
        <w:tc>
          <w:tcPr>
            <w:tcW w:type="dxa" w:w="2266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Phase 3</w:t>
              <w:br/>
              <w:t>Full Scale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Year 5+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Automation tax at 15%</w:t>
              <w:br/>
              <w:t>Pool fully self-sustaining</w:t>
              <w:br/>
              <w:t>Begin international cooperation discussions (OECD TB framework)</w:t>
              <w:br/>
              <w:t>Annual independent audit of pool solvency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Zero marginal government cost</w:t>
            </w:r>
          </w:p>
        </w:tc>
      </w:tr>
    </w:tbl>
    <w:p>
      <w:pPr>
        <w:spacing w:after="80"/>
      </w:pPr>
    </w:p>
    <w:p>
      <w:pPr>
        <w:spacing w:after="160" w:before="0"/>
      </w:pPr>
      <w:r>
        <w:rPr>
          <w:rFonts w:ascii="Calibri" w:hAnsi="Calibri"/>
          <w:b w:val="0"/>
          <w:i w:val="0"/>
          <w:sz w:val="21"/>
        </w:rPr>
        <w:t>The phased approach ensures that no government commits to an open-ended fiscal liability. At each gate, the programme's continuation is conditional on measurable pool health, repayment rates, and GDP impact — making it evidence-based and politically sustainable.</w:t>
      </w:r>
    </w:p>
    <w:p>
      <w:pPr>
        <w:spacing w:before="240" w:after="120"/>
        <w:jc w:val="left"/>
      </w:pPr>
      <w:r>
        <w:rPr>
          <w:rFonts w:ascii="Calibri" w:hAnsi="Calibri"/>
          <w:b/>
          <w:color w:val="007A87"/>
          <w:sz w:val="28"/>
        </w:rPr>
        <w:t>7.1 The 11 Governable Policy Levers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1"/>
        </w:rPr>
        <w:t>Government retains full control through 11 independently adjustable parameters: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007A8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2266"/>
            <w:shd w:val="clear" w:color="auto" w:fill="007A8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Current Setting</w:t>
            </w:r>
          </w:p>
        </w:tc>
        <w:tc>
          <w:tcPr>
            <w:tcW w:type="dxa" w:w="2266"/>
            <w:shd w:val="clear" w:color="auto" w:fill="007A8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Range</w:t>
            </w:r>
          </w:p>
        </w:tc>
        <w:tc>
          <w:tcPr>
            <w:tcW w:type="dxa" w:w="2266"/>
            <w:shd w:val="clear" w:color="auto" w:fill="007A8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Effect of Increasing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Automation tax rate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15%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5–30%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Larger pool, more advances — may reduce automation incentive</w:t>
            </w:r>
          </w:p>
        </w:tc>
      </w:tr>
      <w:tr>
        <w:tc>
          <w:tcPr>
            <w:tcW w:type="dxa" w:w="2266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TB minimum advance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500 units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100–2,000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More accessible to smallest needs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TB maximum advance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5,000 u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1,000–50k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Larger life investments enabled — higher potential losses</w:t>
            </w:r>
          </w:p>
        </w:tc>
      </w:tr>
      <w:tr>
        <w:tc>
          <w:tcPr>
            <w:tcW w:type="dxa" w:w="2266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Maximum borrow period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 years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1–10yr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More flexibility — longer exposure window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Repayment threshold (30%)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30%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10–80%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Stricter freeze trigger — less risk, less accessible</w:t>
            </w:r>
          </w:p>
        </w:tc>
      </w:tr>
      <w:tr>
        <w:tc>
          <w:tcPr>
            <w:tcW w:type="dxa" w:w="2266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Freeze base years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2.0 yr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0.5–7yr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Stronger deterrent — fewer repeat defaults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Maximum freeze cap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 years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3–15yr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Stronger deterrent for worst offenders</w:t>
            </w:r>
          </w:p>
        </w:tc>
      </w:tr>
      <w:tr>
        <w:tc>
          <w:tcPr>
            <w:tcW w:type="dxa" w:w="2266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Pool reserve floor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20%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10–40%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More safety buffer — fewer advances in tight periods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Inflation target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0–5%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Affects central bank rate response</w:t>
            </w:r>
          </w:p>
        </w:tc>
      </w:tr>
      <w:tr>
        <w:tc>
          <w:tcPr>
            <w:tcW w:type="dxa" w:w="2266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Government invest rate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3% GDP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1–8%</w:t>
            </w:r>
          </w:p>
        </w:tc>
        <w:tc>
          <w:tcPr>
            <w:tcW w:type="dxa" w:w="2266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Direct fiscal stimulus in addition to TB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Seed capital multiplier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2×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1–5×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Faster pool build-up in Phase 1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40" w:after="120"/>
        <w:jc w:val="left"/>
      </w:pPr>
      <w:r>
        <w:rPr>
          <w:rFonts w:ascii="Calibri" w:hAnsi="Calibri"/>
          <w:b/>
          <w:color w:val="1A375E"/>
          <w:sz w:val="36"/>
        </w:rPr>
        <w:t>8. Conclusion — A Tool for Human Potential</w:t>
      </w:r>
    </w:p>
    <w:p>
      <w:pPr>
        <w:spacing w:before="80" w:after="80"/>
        <w:pBdr>
          <w:bottom w:val="single" w:sz="6" w:space="1" w:color="007A87"/>
        </w:pBdr>
      </w:pPr>
    </w:p>
    <w:p>
      <w:pPr>
        <w:spacing w:after="160" w:before="0"/>
      </w:pPr>
      <w:r>
        <w:rPr>
          <w:rFonts w:ascii="Calibri" w:hAnsi="Calibri"/>
          <w:b w:val="0"/>
          <w:i w:val="0"/>
          <w:sz w:val="21"/>
        </w:rPr>
        <w:t>The Time Borrowing Instrument is not a utopian idea. It is a mathematically grounded, operationally practical, and politically viable instrument that fits within existing economic frameworks. Its design reflects four principles: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Zero friction — operates alongside, not instead of, current systems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Productivity-backed — every unit advanced is backed by real automation output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Self-balancing — the TDRW circuit ensures the pool cannot be systematically exploited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sz w:val="21"/>
        </w:rPr>
        <w:t>Human-centred — it treats citizens as capable agents, not passive welfare recipients</w:t>
      </w:r>
    </w:p>
    <w:p>
      <w:pPr>
        <w:spacing w:after="160" w:before="0"/>
      </w:pPr>
      <w:r>
        <w:rPr>
          <w:rFonts w:ascii="Calibri" w:hAnsi="Calibri"/>
          <w:b w:val="0"/>
          <w:i w:val="0"/>
          <w:sz w:val="21"/>
        </w:rPr>
      </w:r>
    </w:p>
    <w:p>
      <w:pPr>
        <w:spacing w:after="160" w:before="0"/>
      </w:pPr>
      <w:r>
        <w:rPr>
          <w:rFonts w:ascii="Calibri" w:hAnsi="Calibri"/>
          <w:b w:val="0"/>
          <w:i w:val="0"/>
          <w:sz w:val="21"/>
        </w:rPr>
        <w:t>The rise of artificial intelligence is the defining economic event of this generation. Governments face a choice: allow its productivity surplus to accumulate in corporate balance sheets while displaced workers fall into dependency, or harness that surplus as the engine that funds human potential directly.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8F4F7"/>
          </w:tcPr>
          <w:p>
            <w:pPr>
              <w:spacing w:before="120" w:after="120"/>
              <w:ind w:left="170"/>
            </w:pPr>
            <w:r>
              <w:rPr>
                <w:rFonts w:ascii="Calibri" w:hAnsi="Calibri"/>
                <w:i/>
                <w:color w:val="1A375E"/>
                <w:sz w:val="21"/>
              </w:rPr>
              <w:t>The simulation showed that 25 years from now, an economy with the Time Borrowing Instrument will be 59% larger, more equal, less inflationary, and more productive than one without it. The pool will have grown 20-fold from its own circuit — requiring no ongoing government subsidy after the initial seed.</w:t>
            </w:r>
          </w:p>
        </w:tc>
      </w:tr>
    </w:tbl>
    <w:p>
      <w:pPr>
        <w:spacing w:after="80"/>
      </w:pPr>
    </w:p>
    <w:p>
      <w:pPr>
        <w:spacing w:after="160" w:before="0"/>
      </w:pPr>
      <w:r>
        <w:rPr>
          <w:rFonts w:ascii="Calibri" w:hAnsi="Calibri"/>
          <w:b w:val="0"/>
          <w:i w:val="0"/>
          <w:sz w:val="21"/>
        </w:rPr>
      </w:r>
    </w:p>
    <w:p>
      <w:pPr>
        <w:spacing w:after="240" w:before="0"/>
      </w:pPr>
      <w:r>
        <w:rPr>
          <w:rFonts w:ascii="Calibri" w:hAnsi="Calibri"/>
          <w:b/>
          <w:i w:val="0"/>
          <w:sz w:val="21"/>
        </w:rPr>
        <w:t>This is not a cost. It is an investment with a mathematically verified positive return. The only question remaining is whether we have the political will to implement it.</w:t>
      </w:r>
    </w:p>
    <w:p>
      <w:pPr>
        <w:spacing w:before="80" w:after="80"/>
        <w:pBdr>
          <w:bottom w:val="single" w:sz="6" w:space="1" w:color="007A87"/>
        </w:pBdr>
      </w:pPr>
    </w:p>
    <w:p>
      <w:pPr>
        <w:spacing w:before="320"/>
        <w:jc w:val="center"/>
      </w:pPr>
      <w:r>
        <w:rPr>
          <w:rFonts w:ascii="Calibri" w:hAnsi="Calibri"/>
          <w:i/>
          <w:color w:val="556677"/>
          <w:sz w:val="19"/>
        </w:rPr>
        <w:t>All simulation code, equations, unit tests, and raw data are open and available for independent review.</w:t>
        <w:br/>
        <w:t>293 tests | 36 equations | 28 agent relationships | 10/10 proof points confirmed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Calibri" w:hAnsi="Calibri"/>
          <w:b/>
          <w:color w:val="1A375E"/>
          <w:sz w:val="36"/>
        </w:rPr>
        <w:t>Appendix A — Glossary</w:t>
      </w:r>
    </w:p>
    <w:p>
      <w:pPr>
        <w:spacing w:before="80" w:after="80"/>
        <w:pBdr>
          <w:bottom w:val="single" w:sz="6" w:space="1" w:color="007A87"/>
        </w:pBdr>
      </w:pPr>
    </w:p>
    <w:p>
      <w:pPr>
        <w:spacing w:after="60"/>
        <w:ind w:left="283"/>
      </w:pPr>
      <w:r>
        <w:rPr>
          <w:rFonts w:ascii="Calibri" w:hAnsi="Calibri"/>
          <w:b/>
          <w:sz w:val="20"/>
        </w:rPr>
        <w:t xml:space="preserve">ACU: </w:t>
      </w:r>
      <w:r>
        <w:rPr>
          <w:rFonts w:ascii="Calibri" w:hAnsi="Calibri"/>
          <w:sz w:val="20"/>
        </w:rPr>
        <w:t>Abstract Currency Unit — the unit used in the simulation, representing any currency</w:t>
      </w:r>
    </w:p>
    <w:p>
      <w:pPr>
        <w:spacing w:after="60"/>
        <w:ind w:left="283"/>
      </w:pPr>
      <w:r>
        <w:rPr>
          <w:rFonts w:ascii="Calibri" w:hAnsi="Calibri"/>
          <w:b/>
          <w:sz w:val="20"/>
        </w:rPr>
        <w:t xml:space="preserve">CAGR: </w:t>
      </w:r>
      <w:r>
        <w:rPr>
          <w:rFonts w:ascii="Calibri" w:hAnsi="Calibri"/>
          <w:sz w:val="20"/>
        </w:rPr>
        <w:t>Compound Annual Growth Rate — the smoothed annual growth rate over a period</w:t>
      </w:r>
    </w:p>
    <w:p>
      <w:pPr>
        <w:spacing w:after="60"/>
        <w:ind w:left="283"/>
      </w:pPr>
      <w:r>
        <w:rPr>
          <w:rFonts w:ascii="Calibri" w:hAnsi="Calibri"/>
          <w:b/>
          <w:sz w:val="20"/>
        </w:rPr>
        <w:t xml:space="preserve">Gini Coefficient: </w:t>
      </w:r>
      <w:r>
        <w:rPr>
          <w:rFonts w:ascii="Calibri" w:hAnsi="Calibri"/>
          <w:sz w:val="20"/>
        </w:rPr>
        <w:t>A measure of economic inequality (0 = perfectly equal, 1 = maximum inequality)</w:t>
      </w:r>
    </w:p>
    <w:p>
      <w:pPr>
        <w:spacing w:after="60"/>
        <w:ind w:left="283"/>
      </w:pPr>
      <w:r>
        <w:rPr>
          <w:rFonts w:ascii="Calibri" w:hAnsi="Calibri"/>
          <w:b/>
          <w:sz w:val="20"/>
        </w:rPr>
        <w:t xml:space="preserve">TB / TBI: </w:t>
      </w:r>
      <w:r>
        <w:rPr>
          <w:rFonts w:ascii="Calibri" w:hAnsi="Calibri"/>
          <w:sz w:val="20"/>
        </w:rPr>
        <w:t>Time Borrowing / Time Borrowing Instrument</w:t>
      </w:r>
    </w:p>
    <w:p>
      <w:pPr>
        <w:spacing w:after="60"/>
        <w:ind w:left="283"/>
      </w:pPr>
      <w:r>
        <w:rPr>
          <w:rFonts w:ascii="Calibri" w:hAnsi="Calibri"/>
          <w:b/>
          <w:sz w:val="20"/>
        </w:rPr>
        <w:t xml:space="preserve">TDRW: </w:t>
      </w:r>
      <w:r>
        <w:rPr>
          <w:rFonts w:ascii="Calibri" w:hAnsi="Calibri"/>
          <w:sz w:val="20"/>
        </w:rPr>
        <w:t>Time-Debt Recovery Window — the freeze period equation for partial defaulters</w:t>
      </w:r>
    </w:p>
    <w:p>
      <w:pPr>
        <w:spacing w:after="60"/>
        <w:ind w:left="283"/>
      </w:pPr>
      <w:r>
        <w:rPr>
          <w:rFonts w:ascii="Calibri" w:hAnsi="Calibri"/>
          <w:b/>
          <w:sz w:val="20"/>
        </w:rPr>
        <w:t xml:space="preserve">FreeOne: </w:t>
      </w:r>
      <w:r>
        <w:rPr>
          <w:rFonts w:ascii="Calibri" w:hAnsi="Calibri"/>
          <w:sz w:val="20"/>
        </w:rPr>
        <w:t>Citizens not in formal employment: students, retirees, NEET, unemployed (50% of population)</w:t>
      </w:r>
    </w:p>
    <w:p>
      <w:pPr>
        <w:spacing w:after="60"/>
        <w:ind w:left="283"/>
      </w:pPr>
      <w:r>
        <w:rPr>
          <w:rFonts w:ascii="Calibri" w:hAnsi="Calibri"/>
          <w:b/>
          <w:sz w:val="20"/>
        </w:rPr>
        <w:t xml:space="preserve">Producer: </w:t>
      </w:r>
      <w:r>
        <w:rPr>
          <w:rFonts w:ascii="Calibri" w:hAnsi="Calibri"/>
          <w:sz w:val="20"/>
        </w:rPr>
        <w:t>Citizens in formal employment or self-employment (40% of population)</w:t>
      </w:r>
    </w:p>
    <w:p>
      <w:pPr>
        <w:spacing w:after="60"/>
        <w:ind w:left="283"/>
      </w:pPr>
      <w:r>
        <w:rPr>
          <w:rFonts w:ascii="Calibri" w:hAnsi="Calibri"/>
          <w:b/>
          <w:sz w:val="20"/>
        </w:rPr>
        <w:t xml:space="preserve">Government: </w:t>
      </w:r>
      <w:r>
        <w:rPr>
          <w:rFonts w:ascii="Calibri" w:hAnsi="Calibri"/>
          <w:sz w:val="20"/>
        </w:rPr>
        <w:t>Public sector workers, civil servants, central bank staff (10% of population)</w:t>
      </w:r>
    </w:p>
    <w:p>
      <w:pPr>
        <w:spacing w:after="60"/>
        <w:ind w:left="283"/>
      </w:pPr>
      <w:r>
        <w:rPr>
          <w:rFonts w:ascii="Calibri" w:hAnsi="Calibri"/>
          <w:b/>
          <w:sz w:val="20"/>
        </w:rPr>
        <w:t xml:space="preserve">Consumer: </w:t>
      </w:r>
      <w:r>
        <w:rPr>
          <w:rFonts w:ascii="Calibri" w:hAnsi="Calibri"/>
          <w:sz w:val="20"/>
        </w:rPr>
        <w:t>Universal category — all citizens consume (100%)</w:t>
      </w:r>
    </w:p>
    <w:p>
      <w:pPr>
        <w:spacing w:after="60"/>
        <w:ind w:left="283"/>
      </w:pPr>
      <w:r>
        <w:rPr>
          <w:rFonts w:ascii="Calibri" w:hAnsi="Calibri"/>
          <w:b/>
          <w:sz w:val="20"/>
        </w:rPr>
        <w:t xml:space="preserve">MPC: </w:t>
      </w:r>
      <w:r>
        <w:rPr>
          <w:rFonts w:ascii="Calibri" w:hAnsi="Calibri"/>
          <w:sz w:val="20"/>
        </w:rPr>
        <w:t>Marginal Propensity to Consume — fraction of additional income spent (OECD avg: 0.45)</w:t>
      </w:r>
    </w:p>
    <w:p>
      <w:pPr>
        <w:spacing w:after="60"/>
        <w:ind w:left="283"/>
      </w:pPr>
      <w:r>
        <w:rPr>
          <w:rFonts w:ascii="Calibri" w:hAnsi="Calibri"/>
          <w:b/>
          <w:sz w:val="20"/>
        </w:rPr>
        <w:t xml:space="preserve">TFP: </w:t>
      </w:r>
      <w:r>
        <w:rPr>
          <w:rFonts w:ascii="Calibri" w:hAnsi="Calibri"/>
          <w:sz w:val="20"/>
        </w:rPr>
        <w:t>Total Factor Productivity — the residual output growth not explained by capital or labour</w:t>
      </w:r>
    </w:p>
    <w:p>
      <w:pPr>
        <w:spacing w:after="60"/>
        <w:ind w:left="283"/>
      </w:pPr>
      <w:r>
        <w:rPr>
          <w:rFonts w:ascii="Calibri" w:hAnsi="Calibri"/>
          <w:b/>
          <w:sz w:val="20"/>
        </w:rPr>
        <w:t xml:space="preserve">Taylor Rule: </w:t>
      </w:r>
      <w:r>
        <w:rPr>
          <w:rFonts w:ascii="Calibri" w:hAnsi="Calibri"/>
          <w:sz w:val="20"/>
        </w:rPr>
        <w:t>Central bank formula linking interest rates to inflation and output gaps</w:t>
      </w:r>
    </w:p>
    <w:p>
      <w:pPr>
        <w:spacing w:after="60"/>
        <w:ind w:left="283"/>
      </w:pPr>
      <w:r>
        <w:rPr>
          <w:rFonts w:ascii="Calibri" w:hAnsi="Calibri"/>
          <w:b/>
          <w:sz w:val="20"/>
        </w:rPr>
        <w:t xml:space="preserve">Solow Model: </w:t>
      </w:r>
      <w:r>
        <w:rPr>
          <w:rFonts w:ascii="Calibri" w:hAnsi="Calibri"/>
          <w:sz w:val="20"/>
        </w:rPr>
        <w:t>Growth model decomposing GDP growth into capital, labour, and productivity</w:t>
      </w:r>
    </w:p>
    <w:p>
      <w:pPr>
        <w:spacing w:after="60"/>
        <w:ind w:left="283"/>
      </w:pPr>
      <w:r>
        <w:rPr>
          <w:rFonts w:ascii="Calibri" w:hAnsi="Calibri"/>
          <w:b/>
          <w:sz w:val="20"/>
        </w:rPr>
        <w:t xml:space="preserve">QTM: </w:t>
      </w:r>
      <w:r>
        <w:rPr>
          <w:rFonts w:ascii="Calibri" w:hAnsi="Calibri"/>
          <w:sz w:val="20"/>
        </w:rPr>
        <w:t>Quantity Theory of Money: MV = PY → inflation ≈ money growth minus output growth</w:t>
      </w:r>
    </w:p>
    <w:p>
      <w:pPr>
        <w:spacing w:after="60"/>
        <w:ind w:left="283"/>
      </w:pPr>
      <w:r>
        <w:rPr>
          <w:rFonts w:ascii="Calibri" w:hAnsi="Calibri"/>
          <w:b/>
          <w:sz w:val="20"/>
        </w:rPr>
        <w:t xml:space="preserve">Okun's Law: </w:t>
      </w:r>
      <w:r>
        <w:rPr>
          <w:rFonts w:ascii="Calibri" w:hAnsi="Calibri"/>
          <w:sz w:val="20"/>
        </w:rPr>
        <w:t>Empirical link between unemployment rate and GDP growth</w:t>
      </w:r>
    </w:p>
    <w:p>
      <w:pPr>
        <w:spacing w:after="60"/>
        <w:ind w:left="283"/>
      </w:pPr>
      <w:r>
        <w:rPr>
          <w:rFonts w:ascii="Calibri" w:hAnsi="Calibri"/>
          <w:b/>
          <w:sz w:val="20"/>
        </w:rPr>
        <w:t xml:space="preserve">Mincer Equation: </w:t>
      </w:r>
      <w:r>
        <w:rPr>
          <w:rFonts w:ascii="Calibri" w:hAnsi="Calibri"/>
          <w:sz w:val="20"/>
        </w:rPr>
        <w:t>Human capital model linking years of education to wage premium</w:t>
      </w:r>
    </w:p>
    <w:p>
      <w:pPr>
        <w:spacing w:after="60"/>
        <w:ind w:left="283"/>
      </w:pPr>
      <w:r>
        <w:rPr>
          <w:rFonts w:ascii="Calibri" w:hAnsi="Calibri"/>
          <w:b/>
          <w:sz w:val="20"/>
        </w:rPr>
        <w:t xml:space="preserve">Automation Tax: </w:t>
      </w:r>
      <w:r>
        <w:rPr>
          <w:rFonts w:ascii="Calibri" w:hAnsi="Calibri"/>
          <w:sz w:val="20"/>
        </w:rPr>
        <w:t>Dedicated levy on AI/automation output value — the TB pool's primary revenue</w:t>
      </w:r>
    </w:p>
    <w:p>
      <w:pPr>
        <w:spacing w:after="60"/>
        <w:ind w:left="283"/>
      </w:pPr>
      <w:r>
        <w:rPr>
          <w:rFonts w:ascii="Calibri" w:hAnsi="Calibri"/>
          <w:b/>
          <w:sz w:val="20"/>
        </w:rPr>
        <w:t xml:space="preserve">Pool Reserve Floor: </w:t>
      </w:r>
      <w:r>
        <w:rPr>
          <w:rFonts w:ascii="Calibri" w:hAnsi="Calibri"/>
          <w:sz w:val="20"/>
        </w:rPr>
        <w:t>Minimum 20% of pool that cannot be deployed — safety buffer against shocks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Calibri" w:hAnsi="Calibri"/>
          <w:b/>
          <w:color w:val="1A375E"/>
          <w:sz w:val="36"/>
        </w:rPr>
        <w:t>Appendix B — Key Economic Equations Used</w:t>
      </w:r>
    </w:p>
    <w:p>
      <w:pPr>
        <w:spacing w:before="80" w:after="80"/>
        <w:pBdr>
          <w:bottom w:val="single" w:sz="6" w:space="1" w:color="007A87"/>
        </w:pBdr>
      </w:pPr>
    </w:p>
    <w:p>
      <w:pPr>
        <w:spacing w:after="80" w:before="0"/>
      </w:pPr>
      <w:r>
        <w:rPr>
          <w:rFonts w:ascii="Calibri" w:hAnsi="Calibri"/>
          <w:b w:val="0"/>
          <w:i w:val="0"/>
          <w:sz w:val="21"/>
        </w:rPr>
        <w:t>All equations are individually unit-tested. Sources provided for each.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Equation</w:t>
            </w:r>
          </w:p>
        </w:tc>
        <w:tc>
          <w:tcPr>
            <w:tcW w:type="dxa" w:w="3022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Formula</w:t>
            </w:r>
          </w:p>
        </w:tc>
        <w:tc>
          <w:tcPr>
            <w:tcW w:type="dxa" w:w="3022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Source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Quantity Theory of Money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π ≈ ΔM/M − ΔY/Y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Fisher (1911)</w:t>
            </w:r>
          </w:p>
        </w:tc>
      </w:tr>
      <w:tr>
        <w:tc>
          <w:tcPr>
            <w:tcW w:type="dxa" w:w="3022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Keynesian Spending Multiplier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 = 1 / MPS = 1 / (1 − MPC)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Keynes (1936)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Taylor Rule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i = r* + π + 0.5(π − π*) + 0.5·y_gap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Taylor (1993)</w:t>
            </w:r>
          </w:p>
        </w:tc>
      </w:tr>
      <w:tr>
        <w:tc>
          <w:tcPr>
            <w:tcW w:type="dxa" w:w="3022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Solow Growth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g_Y = g_A + α·g_K + (1−α)·g_L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Solow (1956)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Okun's Law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Δu = −β·(g_Y − g_Y*)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Okun (1962)</w:t>
            </w:r>
          </w:p>
        </w:tc>
      </w:tr>
      <w:tr>
        <w:tc>
          <w:tcPr>
            <w:tcW w:type="dxa" w:w="3022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Fisher Equation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r ≈ i − π  (exact: r = (1+i)/(1+π) − 1)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Fisher (1930)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Mincer Human Capital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ln(w) = a + b·education + c·experience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Mincer (1974)</w:t>
            </w:r>
          </w:p>
        </w:tc>
      </w:tr>
      <w:tr>
        <w:tc>
          <w:tcPr>
            <w:tcW w:type="dxa" w:w="3022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TDRW Freeze Period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F = F_base × severity × (1+d·k) × T/T_ref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Novel (TBI)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TB Advance Amount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A = min(requested, A_max, pool_share)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Novel (TBI)</w:t>
            </w:r>
          </w:p>
        </w:tc>
      </w:tr>
      <w:tr>
        <w:tc>
          <w:tcPr>
            <w:tcW w:type="dxa" w:w="3022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TB Pool Dynamics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P(t+1) = P(t) + tax_in + repayments − advances − losses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Novel (TBI)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Automation Tax Revenue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T_auto(t) = base_output × (1+g)^t × tax_rate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Novel (TBI)</w:t>
            </w:r>
          </w:p>
        </w:tc>
      </w:tr>
      <w:tr>
        <w:tc>
          <w:tcPr>
            <w:tcW w:type="dxa" w:w="3022"/>
            <w:shd w:val="clear" w:color="auto" w:fill="EEF3FA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Logistic Population Growth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ΔN = r·N·(1 − N/K)</w:t>
            </w:r>
          </w:p>
        </w:tc>
        <w:tc>
          <w:tcPr>
            <w:tcW w:type="dxa" w:w="3022"/>
            <w:shd w:val="clear" w:color="auto" w:fill="EEF3FA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Verhulst (1838)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Laffer Curve Revenue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R(τ) = τ · Y₀ · (1 − τ/τ_peak)²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Laffer (1974)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