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1A375E"/>
          </w:tcPr>
          <w:p>
            <w:r>
              <w:t xml:space="preserve"> </w:t>
            </w:r>
          </w:p>
        </w:tc>
      </w:tr>
    </w:tbl>
    <w:p/>
    <w:p>
      <w:pPr>
        <w:spacing w:before="400"/>
        <w:jc w:val="center"/>
      </w:pPr>
      <w:r>
        <w:rPr>
          <w:rFonts w:ascii="Calibri" w:hAnsi="Calibri"/>
          <w:b/>
          <w:color w:val="1A375E"/>
          <w:sz w:val="56"/>
        </w:rPr>
        <w:t>The Time Borrowing Instrument</w:t>
      </w:r>
    </w:p>
    <w:p>
      <w:pPr>
        <w:jc w:val="center"/>
      </w:pPr>
      <w:r>
        <w:rPr>
          <w:rFonts w:ascii="Calibri" w:hAnsi="Calibri"/>
          <w:b/>
          <w:color w:val="007A87"/>
          <w:sz w:val="28"/>
        </w:rPr>
        <w:t>A Sovereign Economic Instrument for Human Potential</w:t>
        <w:br/>
        <w:t>in the Age of Automation</w:t>
      </w:r>
    </w:p>
    <w:p>
      <w:pPr>
        <w:spacing w:after="24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"What if artificial intelligence, instead of replacing human potential, became the very engine that funds it?"</w:t>
            </w:r>
          </w:p>
        </w:tc>
      </w:tr>
    </w:tbl>
    <w:p>
      <w:pPr>
        <w:spacing w:after="60"/>
      </w:pPr>
    </w:p>
    <w:p>
      <w:pPr>
        <w:spacing w:after="240" w:before="0"/>
      </w:pPr>
    </w:p>
    <w:p>
      <w:pPr>
        <w:jc w:val="center"/>
      </w:pPr>
      <w:r>
        <w:rPr>
          <w:rFonts w:ascii="Calibri" w:hAnsi="Calibri"/>
          <w:b/>
          <w:color w:val="1A375E"/>
          <w:sz w:val="22"/>
        </w:rPr>
        <w:t>Author:</w:t>
        <w:br/>
      </w:r>
      <w:r>
        <w:rPr>
          <w:rFonts w:ascii="Calibri" w:hAnsi="Calibri"/>
          <w:b/>
          <w:color w:val="1A375E"/>
          <w:sz w:val="26"/>
        </w:rPr>
        <w:t>Enis Murseli</w:t>
        <w:br/>
      </w:r>
      <w:r>
        <w:rPr>
          <w:rFonts w:ascii="Calibri" w:hAnsi="Calibri"/>
          <w:b w:val="0"/>
          <w:color w:val="1A1A1A"/>
          <w:sz w:val="20"/>
        </w:rPr>
        <w:br/>
      </w:r>
      <w:r>
        <w:rPr>
          <w:rFonts w:ascii="Calibri" w:hAnsi="Calibri"/>
          <w:b w:val="0"/>
          <w:color w:val="445566"/>
          <w:sz w:val="20"/>
        </w:rPr>
        <w:t>Research, design, and economic simulation developed with AI assistance.</w:t>
        <w:br/>
      </w:r>
      <w:r>
        <w:rPr>
          <w:rFonts w:ascii="Calibri" w:hAnsi="Calibri"/>
          <w:b w:val="0"/>
          <w:color w:val="445566"/>
          <w:sz w:val="20"/>
        </w:rPr>
        <w:t>The theoretical framework, planning, and all analytical decisions</w:t>
        <w:br/>
      </w:r>
      <w:r>
        <w:rPr>
          <w:rFonts w:ascii="Calibri" w:hAnsi="Calibri"/>
          <w:b w:val="0"/>
          <w:color w:val="445566"/>
          <w:sz w:val="20"/>
        </w:rPr>
        <w:t>are the original intellectual work of the author.</w:t>
        <w:br/>
      </w:r>
      <w:r>
        <w:rPr>
          <w:rFonts w:ascii="Calibri" w:hAnsi="Calibri"/>
          <w:b w:val="0"/>
          <w:color w:val="445566"/>
          <w:sz w:val="20"/>
        </w:rPr>
        <w:t>AI tools were used to accelerate equation testing, code simulation,</w:t>
        <w:br/>
      </w:r>
      <w:r>
        <w:rPr>
          <w:rFonts w:ascii="Calibri" w:hAnsi="Calibri"/>
          <w:b w:val="0"/>
          <w:color w:val="445566"/>
          <w:sz w:val="20"/>
        </w:rPr>
        <w:t>and document structuring under the author's continuous direction.</w:t>
        <w:br/>
      </w:r>
      <w:r>
        <w:rPr>
          <w:rFonts w:ascii="Calibri" w:hAnsi="Calibri"/>
          <w:b w:val="0"/>
          <w:color w:val="1A1A1A"/>
          <w:sz w:val="20"/>
        </w:rPr>
        <w:br/>
      </w:r>
      <w:r>
        <w:rPr>
          <w:rFonts w:ascii="Calibri" w:hAnsi="Calibri"/>
          <w:b w:val="0"/>
          <w:color w:val="556677"/>
          <w:sz w:val="20"/>
        </w:rPr>
        <w:t>Simulation: 293 independently tested equations and unit tests</w:t>
        <w:br/>
      </w:r>
      <w:r>
        <w:rPr>
          <w:rFonts w:ascii="Calibri" w:hAnsi="Calibri"/>
          <w:b w:val="0"/>
          <w:color w:val="556677"/>
          <w:sz w:val="20"/>
        </w:rPr>
        <w:t>10 / 10 proof points confirmed | May 2026</w:t>
        <w:br/>
      </w:r>
    </w:p>
    <w:p>
      <w:r>
        <w:br w:type="page"/>
      </w:r>
    </w:p>
    <w:p>
      <w:pPr>
        <w:spacing w:before="200" w:after="100"/>
        <w:jc w:val="left"/>
      </w:pPr>
      <w:r>
        <w:rPr>
          <w:rFonts w:ascii="Calibri" w:hAnsi="Calibri"/>
          <w:b/>
          <w:color w:val="1A375E"/>
          <w:sz w:val="36"/>
        </w:rPr>
        <w:t>Executive Summary</w:t>
      </w:r>
    </w:p>
    <w:p>
      <w:pPr>
        <w:spacing w:before="80" w:after="80"/>
        <w:pBdr>
          <w:bottom w:val="single" w:sz="6" w:space="1" w:color="007A87"/>
        </w:pBdr>
      </w:pPr>
    </w:p>
    <w:p>
      <w:pPr>
        <w:spacing w:after="100" w:before="0"/>
        <w:jc w:val="left"/>
      </w:pPr>
      <w:r>
        <w:rPr>
          <w:rFonts w:ascii="Calibri" w:hAnsi="Calibri"/>
          <w:b w:val="0"/>
          <w:i w:val="0"/>
          <w:sz w:val="21"/>
        </w:rPr>
        <w:t>The Time Borrowing Instrument (TBI) is a new, additive economic instrument that transforms the productivity surplus generated by artificial intelligence and automation into direct, repayable capital advances for citizens. It requires no changes to existing banking, welfare, or monetary systems — it operates as a parallel, self-funded sovereign instrument.</w:t>
      </w:r>
    </w:p>
    <w:p>
      <w:pPr>
        <w:spacing w:after="100" w:before="0"/>
        <w:jc w:val="left"/>
      </w:pPr>
      <w:r>
        <w:rPr>
          <w:rFonts w:ascii="Calibri" w:hAnsi="Calibri"/>
          <w:b w:val="0"/>
          <w:i w:val="0"/>
          <w:sz w:val="21"/>
        </w:rPr>
        <w:t>The TBI is funded by a dedicated Automation and AI Tax, ring-fenced into a sovereign liquidity pool. Citizens borrow against their future time and contribution, receive advances for education, entrepreneurship, or hardship, and repay over a structured 0%-interest window. A mathematical self-balancing circuit (the TDRW) prevents systemic abuse.</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Simulation result (50-person economy, 25-year horizon, 293 tests): GDP grew 59% MORE than baseline. Inflation was LOWER (+0.53% vs 1.02%). Inequality (Gini) fell 9.8%. TB pool grew 20× without additional subsidy. All 10/10 proof points confirmed.</w:t>
            </w:r>
          </w:p>
        </w:tc>
      </w:tr>
    </w:tbl>
    <w:p>
      <w:pPr>
        <w:spacing w:after="60"/>
      </w:pPr>
    </w:p>
    <w:p>
      <w:pPr>
        <w:spacing w:before="200" w:after="100"/>
        <w:jc w:val="left"/>
      </w:pPr>
      <w:r>
        <w:rPr>
          <w:rFonts w:ascii="Calibri" w:hAnsi="Calibri"/>
          <w:b/>
          <w:color w:val="007A87"/>
          <w:sz w:val="24"/>
        </w:rPr>
        <w:t>Key Findings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Indicator</w:t>
            </w:r>
          </w:p>
        </w:tc>
        <w:tc>
          <w:tcPr>
            <w:tcW w:type="dxa" w:w="2266"/>
            <w:shd w:val="clear" w:color="auto" w:fill="1A375E"/>
          </w:tcPr>
          <w:p>
            <w:pPr>
              <w:jc w:val="center"/>
            </w:pPr>
            <w:r>
              <w:rPr>
                <w:rFonts w:ascii="Calibri" w:hAnsi="Calibri"/>
                <w:b/>
                <w:color w:val="FFFFFF"/>
                <w:sz w:val="19"/>
              </w:rPr>
              <w:t>Baseline Economy</w:t>
            </w:r>
          </w:p>
        </w:tc>
        <w:tc>
          <w:tcPr>
            <w:tcW w:type="dxa" w:w="2266"/>
            <w:shd w:val="clear" w:color="auto" w:fill="1A375E"/>
          </w:tcPr>
          <w:p>
            <w:pPr>
              <w:jc w:val="center"/>
            </w:pPr>
            <w:r>
              <w:rPr>
                <w:rFonts w:ascii="Calibri" w:hAnsi="Calibri"/>
                <w:b/>
                <w:color w:val="FFFFFF"/>
                <w:sz w:val="19"/>
              </w:rPr>
              <w:t>With Time Borrowing</w:t>
            </w:r>
          </w:p>
        </w:tc>
        <w:tc>
          <w:tcPr>
            <w:tcW w:type="dxa" w:w="2266"/>
            <w:shd w:val="clear" w:color="auto" w:fill="1A375E"/>
          </w:tcPr>
          <w:p>
            <w:pPr>
              <w:jc w:val="center"/>
            </w:pPr>
            <w:r>
              <w:rPr>
                <w:rFonts w:ascii="Calibri" w:hAnsi="Calibri"/>
                <w:b/>
                <w:color w:val="FFFFFF"/>
                <w:sz w:val="19"/>
              </w:rPr>
              <w:t>Change</w:t>
            </w:r>
          </w:p>
        </w:tc>
      </w:tr>
      <w:tr>
        <w:tc>
          <w:tcPr>
            <w:tcW w:type="dxa" w:w="2266"/>
          </w:tcPr>
          <w:p>
            <w:pPr>
              <w:jc w:val="left"/>
            </w:pPr>
            <w:r>
              <w:rPr>
                <w:rFonts w:ascii="Calibri" w:hAnsi="Calibri"/>
                <w:sz w:val="19"/>
              </w:rPr>
              <w:t>GDP after 25 years</w:t>
            </w:r>
          </w:p>
        </w:tc>
        <w:tc>
          <w:tcPr>
            <w:tcW w:type="dxa" w:w="2266"/>
          </w:tcPr>
          <w:p>
            <w:pPr>
              <w:jc w:val="center"/>
            </w:pPr>
            <w:r>
              <w:rPr>
                <w:rFonts w:ascii="Calibri" w:hAnsi="Calibri"/>
                <w:sz w:val="19"/>
              </w:rPr>
              <w:t>12,906 units</w:t>
            </w:r>
          </w:p>
        </w:tc>
        <w:tc>
          <w:tcPr>
            <w:tcW w:type="dxa" w:w="2266"/>
          </w:tcPr>
          <w:p>
            <w:pPr>
              <w:jc w:val="center"/>
            </w:pPr>
            <w:r>
              <w:rPr>
                <w:rFonts w:ascii="Calibri" w:hAnsi="Calibri"/>
                <w:sz w:val="19"/>
              </w:rPr>
              <w:t>20,521 units</w:t>
            </w:r>
          </w:p>
        </w:tc>
        <w:tc>
          <w:tcPr>
            <w:tcW w:type="dxa" w:w="2266"/>
          </w:tcPr>
          <w:p>
            <w:pPr>
              <w:jc w:val="center"/>
            </w:pPr>
            <w:r>
              <w:rPr>
                <w:rFonts w:ascii="Calibri" w:hAnsi="Calibri"/>
                <w:sz w:val="19"/>
              </w:rPr>
              <w:t>+59.0%</w:t>
            </w:r>
          </w:p>
        </w:tc>
      </w:tr>
      <w:tr>
        <w:tc>
          <w:tcPr>
            <w:tcW w:type="dxa" w:w="2266"/>
            <w:shd w:val="clear" w:color="auto" w:fill="EEF3FA"/>
          </w:tcPr>
          <w:p>
            <w:pPr>
              <w:jc w:val="left"/>
            </w:pPr>
            <w:r>
              <w:rPr>
                <w:rFonts w:ascii="Calibri" w:hAnsi="Calibri"/>
                <w:sz w:val="19"/>
              </w:rPr>
              <w:t>Annual GDP growth</w:t>
            </w:r>
          </w:p>
        </w:tc>
        <w:tc>
          <w:tcPr>
            <w:tcW w:type="dxa" w:w="2266"/>
            <w:shd w:val="clear" w:color="auto" w:fill="EEF3FA"/>
          </w:tcPr>
          <w:p>
            <w:pPr>
              <w:jc w:val="center"/>
            </w:pPr>
            <w:r>
              <w:rPr>
                <w:rFonts w:ascii="Calibri" w:hAnsi="Calibri"/>
                <w:sz w:val="19"/>
              </w:rPr>
              <w:t>3.87%/yr</w:t>
            </w:r>
          </w:p>
        </w:tc>
        <w:tc>
          <w:tcPr>
            <w:tcW w:type="dxa" w:w="2266"/>
            <w:shd w:val="clear" w:color="auto" w:fill="EEF3FA"/>
          </w:tcPr>
          <w:p>
            <w:pPr>
              <w:jc w:val="center"/>
            </w:pPr>
            <w:r>
              <w:rPr>
                <w:rFonts w:ascii="Calibri" w:hAnsi="Calibri"/>
                <w:sz w:val="19"/>
              </w:rPr>
              <w:t>5.86%/yr</w:t>
            </w:r>
          </w:p>
        </w:tc>
        <w:tc>
          <w:tcPr>
            <w:tcW w:type="dxa" w:w="2266"/>
            <w:shd w:val="clear" w:color="auto" w:fill="EEF3FA"/>
          </w:tcPr>
          <w:p>
            <w:pPr>
              <w:jc w:val="center"/>
            </w:pPr>
            <w:r>
              <w:rPr>
                <w:rFonts w:ascii="Calibri" w:hAnsi="Calibri"/>
                <w:sz w:val="19"/>
              </w:rPr>
              <w:t>+1.99pp</w:t>
            </w:r>
          </w:p>
        </w:tc>
      </w:tr>
      <w:tr>
        <w:tc>
          <w:tcPr>
            <w:tcW w:type="dxa" w:w="2266"/>
          </w:tcPr>
          <w:p>
            <w:pPr>
              <w:jc w:val="left"/>
            </w:pPr>
            <w:r>
              <w:rPr>
                <w:rFonts w:ascii="Calibri" w:hAnsi="Calibri"/>
                <w:sz w:val="19"/>
              </w:rPr>
              <w:t>Average inflation</w:t>
            </w:r>
          </w:p>
        </w:tc>
        <w:tc>
          <w:tcPr>
            <w:tcW w:type="dxa" w:w="2266"/>
          </w:tcPr>
          <w:p>
            <w:pPr>
              <w:jc w:val="center"/>
            </w:pPr>
            <w:r>
              <w:rPr>
                <w:rFonts w:ascii="Calibri" w:hAnsi="Calibri"/>
                <w:sz w:val="19"/>
              </w:rPr>
              <w:t>1.02%/yr</w:t>
            </w:r>
          </w:p>
        </w:tc>
        <w:tc>
          <w:tcPr>
            <w:tcW w:type="dxa" w:w="2266"/>
          </w:tcPr>
          <w:p>
            <w:pPr>
              <w:jc w:val="center"/>
            </w:pPr>
            <w:r>
              <w:rPr>
                <w:rFonts w:ascii="Calibri" w:hAnsi="Calibri"/>
                <w:sz w:val="19"/>
              </w:rPr>
              <w:t>0.53%/yr</w:t>
            </w:r>
          </w:p>
        </w:tc>
        <w:tc>
          <w:tcPr>
            <w:tcW w:type="dxa" w:w="2266"/>
          </w:tcPr>
          <w:p>
            <w:pPr>
              <w:jc w:val="center"/>
            </w:pPr>
            <w:r>
              <w:rPr>
                <w:rFonts w:ascii="Calibri" w:hAnsi="Calibri"/>
                <w:sz w:val="19"/>
              </w:rPr>
              <w:t>-0.50pp (LOWER)</w:t>
            </w:r>
          </w:p>
        </w:tc>
      </w:tr>
      <w:tr>
        <w:tc>
          <w:tcPr>
            <w:tcW w:type="dxa" w:w="2266"/>
            <w:shd w:val="clear" w:color="auto" w:fill="EEF3FA"/>
          </w:tcPr>
          <w:p>
            <w:pPr>
              <w:jc w:val="left"/>
            </w:pPr>
            <w:r>
              <w:rPr>
                <w:rFonts w:ascii="Calibri" w:hAnsi="Calibri"/>
                <w:sz w:val="19"/>
              </w:rPr>
              <w:t>Inequality (Gini)</w:t>
            </w:r>
          </w:p>
        </w:tc>
        <w:tc>
          <w:tcPr>
            <w:tcW w:type="dxa" w:w="2266"/>
            <w:shd w:val="clear" w:color="auto" w:fill="EEF3FA"/>
          </w:tcPr>
          <w:p>
            <w:pPr>
              <w:jc w:val="center"/>
            </w:pPr>
            <w:r>
              <w:rPr>
                <w:rFonts w:ascii="Calibri" w:hAnsi="Calibri"/>
                <w:sz w:val="19"/>
              </w:rPr>
              <w:t>0.358</w:t>
            </w:r>
          </w:p>
        </w:tc>
        <w:tc>
          <w:tcPr>
            <w:tcW w:type="dxa" w:w="2266"/>
            <w:shd w:val="clear" w:color="auto" w:fill="EEF3FA"/>
          </w:tcPr>
          <w:p>
            <w:pPr>
              <w:jc w:val="center"/>
            </w:pPr>
            <w:r>
              <w:rPr>
                <w:rFonts w:ascii="Calibri" w:hAnsi="Calibri"/>
                <w:sz w:val="19"/>
              </w:rPr>
              <w:t>0.323</w:t>
            </w:r>
          </w:p>
        </w:tc>
        <w:tc>
          <w:tcPr>
            <w:tcW w:type="dxa" w:w="2266"/>
            <w:shd w:val="clear" w:color="auto" w:fill="EEF3FA"/>
          </w:tcPr>
          <w:p>
            <w:pPr>
              <w:jc w:val="center"/>
            </w:pPr>
            <w:r>
              <w:rPr>
                <w:rFonts w:ascii="Calibri" w:hAnsi="Calibri"/>
                <w:sz w:val="19"/>
              </w:rPr>
              <w:t>-9.8%</w:t>
            </w:r>
          </w:p>
        </w:tc>
      </w:tr>
      <w:tr>
        <w:tc>
          <w:tcPr>
            <w:tcW w:type="dxa" w:w="2266"/>
          </w:tcPr>
          <w:p>
            <w:pPr>
              <w:jc w:val="left"/>
            </w:pPr>
            <w:r>
              <w:rPr>
                <w:rFonts w:ascii="Calibri" w:hAnsi="Calibri"/>
                <w:sz w:val="19"/>
              </w:rPr>
              <w:t>Worker productivity</w:t>
            </w:r>
          </w:p>
        </w:tc>
        <w:tc>
          <w:tcPr>
            <w:tcW w:type="dxa" w:w="2266"/>
          </w:tcPr>
          <w:p>
            <w:pPr>
              <w:jc w:val="center"/>
            </w:pPr>
            <w:r>
              <w:rPr>
                <w:rFonts w:ascii="Calibri" w:hAnsi="Calibri"/>
                <w:sz w:val="19"/>
              </w:rPr>
              <w:t>327.7</w:t>
            </w:r>
          </w:p>
        </w:tc>
        <w:tc>
          <w:tcPr>
            <w:tcW w:type="dxa" w:w="2266"/>
          </w:tcPr>
          <w:p>
            <w:pPr>
              <w:jc w:val="center"/>
            </w:pPr>
            <w:r>
              <w:rPr>
                <w:rFonts w:ascii="Calibri" w:hAnsi="Calibri"/>
                <w:sz w:val="19"/>
              </w:rPr>
              <w:t>492.3</w:t>
            </w:r>
          </w:p>
        </w:tc>
        <w:tc>
          <w:tcPr>
            <w:tcW w:type="dxa" w:w="2266"/>
          </w:tcPr>
          <w:p>
            <w:pPr>
              <w:jc w:val="center"/>
            </w:pPr>
            <w:r>
              <w:rPr>
                <w:rFonts w:ascii="Calibri" w:hAnsi="Calibri"/>
                <w:sz w:val="19"/>
              </w:rPr>
              <w:t>+50.2%</w:t>
            </w:r>
          </w:p>
        </w:tc>
      </w:tr>
      <w:tr>
        <w:tc>
          <w:tcPr>
            <w:tcW w:type="dxa" w:w="2266"/>
            <w:shd w:val="clear" w:color="auto" w:fill="EEF3FA"/>
          </w:tcPr>
          <w:p>
            <w:pPr>
              <w:jc w:val="left"/>
            </w:pPr>
            <w:r>
              <w:rPr>
                <w:rFonts w:ascii="Calibri" w:hAnsi="Calibri"/>
                <w:sz w:val="19"/>
              </w:rPr>
              <w:t>TB Pool after 25 years</w:t>
            </w:r>
          </w:p>
        </w:tc>
        <w:tc>
          <w:tcPr>
            <w:tcW w:type="dxa" w:w="2266"/>
            <w:shd w:val="clear" w:color="auto" w:fill="EEF3FA"/>
          </w:tcPr>
          <w:p>
            <w:pPr>
              <w:jc w:val="center"/>
            </w:pPr>
            <w:r>
              <w:rPr>
                <w:rFonts w:ascii="Calibri" w:hAnsi="Calibri"/>
                <w:sz w:val="19"/>
              </w:rPr>
              <w:t>N/A</w:t>
            </w:r>
          </w:p>
        </w:tc>
        <w:tc>
          <w:tcPr>
            <w:tcW w:type="dxa" w:w="2266"/>
            <w:shd w:val="clear" w:color="auto" w:fill="EEF3FA"/>
          </w:tcPr>
          <w:p>
            <w:pPr>
              <w:jc w:val="center"/>
            </w:pPr>
            <w:r>
              <w:rPr>
                <w:rFonts w:ascii="Calibri" w:hAnsi="Calibri"/>
                <w:sz w:val="19"/>
              </w:rPr>
              <w:t>2,809 units</w:t>
            </w:r>
          </w:p>
        </w:tc>
        <w:tc>
          <w:tcPr>
            <w:tcW w:type="dxa" w:w="2266"/>
            <w:shd w:val="clear" w:color="auto" w:fill="EEF3FA"/>
          </w:tcPr>
          <w:p>
            <w:pPr>
              <w:jc w:val="center"/>
            </w:pPr>
            <w:r>
              <w:rPr>
                <w:rFonts w:ascii="Calibri" w:hAnsi="Calibri"/>
                <w:sz w:val="19"/>
              </w:rPr>
              <w:t>Started at 132</w:t>
            </w:r>
          </w:p>
        </w:tc>
      </w:tr>
      <w:tr>
        <w:tc>
          <w:tcPr>
            <w:tcW w:type="dxa" w:w="2266"/>
          </w:tcPr>
          <w:p>
            <w:pPr>
              <w:jc w:val="left"/>
            </w:pPr>
            <w:r>
              <w:rPr>
                <w:rFonts w:ascii="Calibri" w:hAnsi="Calibri"/>
                <w:sz w:val="19"/>
              </w:rPr>
              <w:t>Climate shock survival</w:t>
            </w:r>
          </w:p>
        </w:tc>
        <w:tc>
          <w:tcPr>
            <w:tcW w:type="dxa" w:w="2266"/>
          </w:tcPr>
          <w:p>
            <w:pPr>
              <w:jc w:val="center"/>
            </w:pPr>
            <w:r>
              <w:rPr>
                <w:rFonts w:ascii="Calibri" w:hAnsi="Calibri"/>
                <w:sz w:val="19"/>
              </w:rPr>
              <w:t>N/A</w:t>
            </w:r>
          </w:p>
        </w:tc>
        <w:tc>
          <w:tcPr>
            <w:tcW w:type="dxa" w:w="2266"/>
          </w:tcPr>
          <w:p>
            <w:pPr>
              <w:jc w:val="center"/>
            </w:pPr>
            <w:r>
              <w:rPr>
                <w:rFonts w:ascii="Calibri" w:hAnsi="Calibri"/>
                <w:sz w:val="19"/>
              </w:rPr>
              <w:t>YES</w:t>
            </w:r>
          </w:p>
        </w:tc>
        <w:tc>
          <w:tcPr>
            <w:tcW w:type="dxa" w:w="2266"/>
          </w:tcPr>
          <w:p>
            <w:pPr>
              <w:jc w:val="center"/>
            </w:pPr>
            <w:r>
              <w:rPr>
                <w:rFonts w:ascii="Calibri" w:hAnsi="Calibri"/>
                <w:sz w:val="19"/>
              </w:rPr>
              <w:t>Pool intact</w:t>
            </w:r>
          </w:p>
        </w:tc>
      </w:tr>
    </w:tbl>
    <w:p>
      <w:pPr>
        <w:spacing w:after="60"/>
      </w:pPr>
    </w:p>
    <w:p>
      <w:r>
        <w:br w:type="page"/>
      </w:r>
    </w:p>
    <w:p>
      <w:pPr>
        <w:spacing w:before="200" w:after="100"/>
        <w:jc w:val="left"/>
      </w:pPr>
      <w:r>
        <w:rPr>
          <w:rFonts w:ascii="Calibri" w:hAnsi="Calibri"/>
          <w:b/>
          <w:color w:val="1A375E"/>
          <w:sz w:val="36"/>
        </w:rPr>
        <w:t>1.  The Problem We Are Solving</w:t>
      </w:r>
    </w:p>
    <w:p>
      <w:pPr>
        <w:spacing w:before="80" w:after="80"/>
        <w:pBdr>
          <w:bottom w:val="single" w:sz="6" w:space="1" w:color="007A87"/>
        </w:pBdr>
      </w:pPr>
    </w:p>
    <w:p>
      <w:pPr>
        <w:spacing w:before="200" w:after="100"/>
        <w:jc w:val="left"/>
      </w:pPr>
      <w:r>
        <w:rPr>
          <w:rFonts w:ascii="Calibri" w:hAnsi="Calibri"/>
          <w:b/>
          <w:color w:val="007A87"/>
          <w:sz w:val="28"/>
        </w:rPr>
        <w:t>1.1  Automation Displacement Gap</w:t>
      </w:r>
    </w:p>
    <w:p>
      <w:pPr>
        <w:spacing w:after="100" w:before="0"/>
        <w:jc w:val="left"/>
      </w:pPr>
      <w:r>
        <w:rPr>
          <w:rFonts w:ascii="Calibri" w:hAnsi="Calibri"/>
          <w:b w:val="0"/>
          <w:i w:val="0"/>
          <w:sz w:val="21"/>
        </w:rPr>
        <w:t>AI and robotics are eliminating routine jobs at an accelerating pace. The OECD estimates 14% of jobs are highly automatable and 32% face significant change. This creates a structural gap between the wealth generated by machines and the humans they replace.</w:t>
      </w:r>
    </w:p>
    <w:p>
      <w:pPr>
        <w:spacing w:before="200" w:after="100"/>
        <w:jc w:val="left"/>
      </w:pPr>
      <w:r>
        <w:rPr>
          <w:rFonts w:ascii="Calibri" w:hAnsi="Calibri"/>
          <w:b/>
          <w:color w:val="007A87"/>
          <w:sz w:val="28"/>
        </w:rPr>
        <w:t>1.2  Human Capital Funding Deficit</w:t>
      </w:r>
    </w:p>
    <w:p>
      <w:pPr>
        <w:spacing w:after="100" w:before="0"/>
        <w:jc w:val="left"/>
      </w:pPr>
      <w:r>
        <w:rPr>
          <w:rFonts w:ascii="Calibri" w:hAnsi="Calibri"/>
          <w:b w:val="0"/>
          <w:i w:val="0"/>
          <w:sz w:val="21"/>
        </w:rPr>
        <w:t>Retraining, education, and entrepreneurship require upfront capital. The citizens most in need — unemployed, NEET youth, those in declining industries — cannot access traditional credit. Bank loans require collateral they do not have. Welfare creates dependency without building capacity.</w:t>
      </w:r>
    </w:p>
    <w:p>
      <w:pPr>
        <w:spacing w:before="200" w:after="100"/>
        <w:jc w:val="left"/>
      </w:pPr>
      <w:r>
        <w:rPr>
          <w:rFonts w:ascii="Calibri" w:hAnsi="Calibri"/>
          <w:b/>
          <w:color w:val="007A87"/>
          <w:sz w:val="28"/>
        </w:rPr>
        <w:t>1.3  The Inflation-Welfare Trap</w:t>
      </w:r>
    </w:p>
    <w:p>
      <w:pPr>
        <w:spacing w:after="100" w:before="0"/>
        <w:jc w:val="left"/>
      </w:pPr>
      <w:r>
        <w:rPr>
          <w:rFonts w:ascii="Calibri" w:hAnsi="Calibri"/>
          <w:b w:val="0"/>
          <w:i w:val="0"/>
          <w:sz w:val="21"/>
        </w:rPr>
        <w:t>UBI proposals address displacement but are funded by fiat money creation or broad tax increases — both risking inflation and political resistance. The more governments spend on welfare, the larger deficits grow and the less investment space remains.</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The question is not whether we can afford to fund human potential. The question is whether we can afford NOT to — and whether we can do it without triggering the inflation and dependency traps of the past.</w:t>
            </w:r>
          </w:p>
        </w:tc>
      </w:tr>
    </w:tbl>
    <w:p>
      <w:pPr>
        <w:spacing w:after="60"/>
      </w:pPr>
    </w:p>
    <w:p>
      <w:r>
        <w:br w:type="page"/>
      </w:r>
    </w:p>
    <w:p>
      <w:pPr>
        <w:spacing w:before="200" w:after="100"/>
        <w:jc w:val="left"/>
      </w:pPr>
      <w:r>
        <w:rPr>
          <w:rFonts w:ascii="Calibri" w:hAnsi="Calibri"/>
          <w:b/>
          <w:color w:val="1A375E"/>
          <w:sz w:val="36"/>
        </w:rPr>
        <w:t>2.  The Time Borrowing Instrument</w:t>
      </w:r>
    </w:p>
    <w:p>
      <w:pPr>
        <w:spacing w:before="80" w:after="80"/>
        <w:pBdr>
          <w:bottom w:val="single" w:sz="6" w:space="1" w:color="007A87"/>
        </w:pBdr>
      </w:pPr>
    </w:p>
    <w:p>
      <w:pPr>
        <w:spacing w:after="100" w:before="0"/>
        <w:jc w:val="left"/>
      </w:pPr>
      <w:r>
        <w:rPr>
          <w:rFonts w:ascii="Calibri" w:hAnsi="Calibri"/>
          <w:b w:val="0"/>
          <w:i w:val="0"/>
          <w:sz w:val="21"/>
        </w:rPr>
        <w:t>The TBI enables citizens to borrow against their own FUTURE TIME — future work, contribution, and labour — rather than against financial collateral. It is funded entirely by a dedicated tax on AI and automation output.</w:t>
      </w:r>
    </w:p>
    <w:p>
      <w:pPr>
        <w:spacing w:before="200" w:after="100"/>
        <w:jc w:val="left"/>
      </w:pPr>
      <w:r>
        <w:rPr>
          <w:rFonts w:ascii="Calibri" w:hAnsi="Calibri"/>
          <w:b/>
          <w:color w:val="007A87"/>
          <w:sz w:val="28"/>
        </w:rPr>
        <w:t>2.1  The Core Circuit</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Step</w:t>
            </w:r>
          </w:p>
        </w:tc>
        <w:tc>
          <w:tcPr>
            <w:tcW w:type="dxa" w:w="3022"/>
            <w:shd w:val="clear" w:color="auto" w:fill="007A87"/>
          </w:tcPr>
          <w:p>
            <w:pPr>
              <w:jc w:val="center"/>
            </w:pPr>
            <w:r>
              <w:rPr>
                <w:rFonts w:ascii="Calibri" w:hAnsi="Calibri"/>
                <w:b/>
                <w:color w:val="FFFFFF"/>
                <w:sz w:val="19"/>
              </w:rPr>
              <w:t>Actor</w:t>
            </w:r>
          </w:p>
        </w:tc>
        <w:tc>
          <w:tcPr>
            <w:tcW w:type="dxa" w:w="3022"/>
            <w:shd w:val="clear" w:color="auto" w:fill="007A87"/>
          </w:tcPr>
          <w:p>
            <w:pPr>
              <w:jc w:val="center"/>
            </w:pPr>
            <w:r>
              <w:rPr>
                <w:rFonts w:ascii="Calibri" w:hAnsi="Calibri"/>
                <w:b/>
                <w:color w:val="FFFFFF"/>
                <w:sz w:val="19"/>
              </w:rPr>
              <w:t>Action</w:t>
            </w:r>
          </w:p>
        </w:tc>
      </w:tr>
      <w:tr>
        <w:tc>
          <w:tcPr>
            <w:tcW w:type="dxa" w:w="3022"/>
          </w:tcPr>
          <w:p>
            <w:pPr>
              <w:jc w:val="left"/>
            </w:pPr>
            <w:r>
              <w:rPr>
                <w:rFonts w:ascii="Calibri" w:hAnsi="Calibri"/>
                <w:sz w:val="19"/>
              </w:rPr>
              <w:t>1</w:t>
            </w:r>
          </w:p>
        </w:tc>
        <w:tc>
          <w:tcPr>
            <w:tcW w:type="dxa" w:w="3022"/>
          </w:tcPr>
          <w:p>
            <w:pPr>
              <w:jc w:val="center"/>
            </w:pPr>
            <w:r>
              <w:rPr>
                <w:rFonts w:ascii="Calibri" w:hAnsi="Calibri"/>
                <w:sz w:val="19"/>
              </w:rPr>
              <w:t>AI &amp; Automation</w:t>
            </w:r>
          </w:p>
        </w:tc>
        <w:tc>
          <w:tcPr>
            <w:tcW w:type="dxa" w:w="3022"/>
          </w:tcPr>
          <w:p>
            <w:pPr>
              <w:jc w:val="center"/>
            </w:pPr>
            <w:r>
              <w:rPr>
                <w:rFonts w:ascii="Calibri" w:hAnsi="Calibri"/>
                <w:sz w:val="19"/>
              </w:rPr>
              <w:t>Generate economic surplus through automated work</w:t>
            </w:r>
          </w:p>
        </w:tc>
      </w:tr>
      <w:tr>
        <w:tc>
          <w:tcPr>
            <w:tcW w:type="dxa" w:w="3022"/>
            <w:shd w:val="clear" w:color="auto" w:fill="EEF3FA"/>
          </w:tcPr>
          <w:p>
            <w:pPr>
              <w:jc w:val="left"/>
            </w:pPr>
            <w:r>
              <w:rPr>
                <w:rFonts w:ascii="Calibri" w:hAnsi="Calibri"/>
                <w:sz w:val="19"/>
              </w:rPr>
              <w:t>2</w:t>
            </w:r>
          </w:p>
        </w:tc>
        <w:tc>
          <w:tcPr>
            <w:tcW w:type="dxa" w:w="3022"/>
            <w:shd w:val="clear" w:color="auto" w:fill="EEF3FA"/>
          </w:tcPr>
          <w:p>
            <w:pPr>
              <w:jc w:val="center"/>
            </w:pPr>
            <w:r>
              <w:rPr>
                <w:rFonts w:ascii="Calibri" w:hAnsi="Calibri"/>
                <w:sz w:val="19"/>
              </w:rPr>
              <w:t>Automation Tax 15%</w:t>
            </w:r>
          </w:p>
        </w:tc>
        <w:tc>
          <w:tcPr>
            <w:tcW w:type="dxa" w:w="3022"/>
            <w:shd w:val="clear" w:color="auto" w:fill="EEF3FA"/>
          </w:tcPr>
          <w:p>
            <w:pPr>
              <w:jc w:val="center"/>
            </w:pPr>
            <w:r>
              <w:rPr>
                <w:rFonts w:ascii="Calibri" w:hAnsi="Calibri"/>
                <w:sz w:val="19"/>
              </w:rPr>
              <w:t>Dedicated levy on AI/automation output value</w:t>
            </w:r>
          </w:p>
        </w:tc>
      </w:tr>
      <w:tr>
        <w:tc>
          <w:tcPr>
            <w:tcW w:type="dxa" w:w="3022"/>
          </w:tcPr>
          <w:p>
            <w:pPr>
              <w:jc w:val="left"/>
            </w:pPr>
            <w:r>
              <w:rPr>
                <w:rFonts w:ascii="Calibri" w:hAnsi="Calibri"/>
                <w:sz w:val="19"/>
              </w:rPr>
              <w:t>3</w:t>
            </w:r>
          </w:p>
        </w:tc>
        <w:tc>
          <w:tcPr>
            <w:tcW w:type="dxa" w:w="3022"/>
          </w:tcPr>
          <w:p>
            <w:pPr>
              <w:jc w:val="center"/>
            </w:pPr>
            <w:r>
              <w:rPr>
                <w:rFonts w:ascii="Calibri" w:hAnsi="Calibri"/>
                <w:sz w:val="19"/>
              </w:rPr>
              <w:t>TB Liquidity Pool</w:t>
            </w:r>
          </w:p>
        </w:tc>
        <w:tc>
          <w:tcPr>
            <w:tcW w:type="dxa" w:w="3022"/>
          </w:tcPr>
          <w:p>
            <w:pPr>
              <w:jc w:val="center"/>
            </w:pPr>
            <w:r>
              <w:rPr>
                <w:rFonts w:ascii="Calibri" w:hAnsi="Calibri"/>
                <w:sz w:val="19"/>
              </w:rPr>
              <w:t>Ring-fenced sovereign fund — never enters general budget</w:t>
            </w:r>
          </w:p>
        </w:tc>
      </w:tr>
      <w:tr>
        <w:tc>
          <w:tcPr>
            <w:tcW w:type="dxa" w:w="3022"/>
            <w:shd w:val="clear" w:color="auto" w:fill="EEF3FA"/>
          </w:tcPr>
          <w:p>
            <w:pPr>
              <w:jc w:val="left"/>
            </w:pPr>
            <w:r>
              <w:rPr>
                <w:rFonts w:ascii="Calibri" w:hAnsi="Calibri"/>
                <w:sz w:val="19"/>
              </w:rPr>
              <w:t>4</w:t>
            </w:r>
          </w:p>
        </w:tc>
        <w:tc>
          <w:tcPr>
            <w:tcW w:type="dxa" w:w="3022"/>
            <w:shd w:val="clear" w:color="auto" w:fill="EEF3FA"/>
          </w:tcPr>
          <w:p>
            <w:pPr>
              <w:jc w:val="center"/>
            </w:pPr>
            <w:r>
              <w:rPr>
                <w:rFonts w:ascii="Calibri" w:hAnsi="Calibri"/>
                <w:sz w:val="19"/>
              </w:rPr>
              <w:t>Citizen Advance</w:t>
            </w:r>
          </w:p>
        </w:tc>
        <w:tc>
          <w:tcPr>
            <w:tcW w:type="dxa" w:w="3022"/>
            <w:shd w:val="clear" w:color="auto" w:fill="EEF3FA"/>
          </w:tcPr>
          <w:p>
            <w:pPr>
              <w:jc w:val="center"/>
            </w:pPr>
            <w:r>
              <w:rPr>
                <w:rFonts w:ascii="Calibri" w:hAnsi="Calibri"/>
                <w:sz w:val="19"/>
              </w:rPr>
              <w:t>Capital released to eligible citizens (0% interest)</w:t>
            </w:r>
          </w:p>
        </w:tc>
      </w:tr>
      <w:tr>
        <w:tc>
          <w:tcPr>
            <w:tcW w:type="dxa" w:w="3022"/>
          </w:tcPr>
          <w:p>
            <w:pPr>
              <w:jc w:val="left"/>
            </w:pPr>
            <w:r>
              <w:rPr>
                <w:rFonts w:ascii="Calibri" w:hAnsi="Calibri"/>
                <w:sz w:val="19"/>
              </w:rPr>
              <w:t>5</w:t>
            </w:r>
          </w:p>
        </w:tc>
        <w:tc>
          <w:tcPr>
            <w:tcW w:type="dxa" w:w="3022"/>
          </w:tcPr>
          <w:p>
            <w:pPr>
              <w:jc w:val="center"/>
            </w:pPr>
            <w:r>
              <w:rPr>
                <w:rFonts w:ascii="Calibri" w:hAnsi="Calibri"/>
                <w:sz w:val="19"/>
              </w:rPr>
              <w:t>Productive Use</w:t>
            </w:r>
          </w:p>
        </w:tc>
        <w:tc>
          <w:tcPr>
            <w:tcW w:type="dxa" w:w="3022"/>
          </w:tcPr>
          <w:p>
            <w:pPr>
              <w:jc w:val="center"/>
            </w:pPr>
            <w:r>
              <w:rPr>
                <w:rFonts w:ascii="Calibri" w:hAnsi="Calibri"/>
                <w:sz w:val="19"/>
              </w:rPr>
              <w:t>Citizen studies, starts a business, or bridges hardship</w:t>
            </w:r>
          </w:p>
        </w:tc>
      </w:tr>
      <w:tr>
        <w:tc>
          <w:tcPr>
            <w:tcW w:type="dxa" w:w="3022"/>
            <w:shd w:val="clear" w:color="auto" w:fill="EEF3FA"/>
          </w:tcPr>
          <w:p>
            <w:pPr>
              <w:jc w:val="left"/>
            </w:pPr>
            <w:r>
              <w:rPr>
                <w:rFonts w:ascii="Calibri" w:hAnsi="Calibri"/>
                <w:sz w:val="19"/>
              </w:rPr>
              <w:t>6</w:t>
            </w:r>
          </w:p>
        </w:tc>
        <w:tc>
          <w:tcPr>
            <w:tcW w:type="dxa" w:w="3022"/>
            <w:shd w:val="clear" w:color="auto" w:fill="EEF3FA"/>
          </w:tcPr>
          <w:p>
            <w:pPr>
              <w:jc w:val="center"/>
            </w:pPr>
            <w:r>
              <w:rPr>
                <w:rFonts w:ascii="Calibri" w:hAnsi="Calibri"/>
                <w:sz w:val="19"/>
              </w:rPr>
              <w:t>Repayment</w:t>
            </w:r>
          </w:p>
        </w:tc>
        <w:tc>
          <w:tcPr>
            <w:tcW w:type="dxa" w:w="3022"/>
            <w:shd w:val="clear" w:color="auto" w:fill="EEF3FA"/>
          </w:tcPr>
          <w:p>
            <w:pPr>
              <w:jc w:val="center"/>
            </w:pPr>
            <w:r>
              <w:rPr>
                <w:rFonts w:ascii="Calibri" w:hAnsi="Calibri"/>
                <w:sz w:val="19"/>
              </w:rPr>
              <w:t>Repaid over agreed window (time is collateral, not money)</w:t>
            </w:r>
          </w:p>
        </w:tc>
      </w:tr>
      <w:tr>
        <w:tc>
          <w:tcPr>
            <w:tcW w:type="dxa" w:w="3022"/>
          </w:tcPr>
          <w:p>
            <w:pPr>
              <w:jc w:val="left"/>
            </w:pPr>
            <w:r>
              <w:rPr>
                <w:rFonts w:ascii="Calibri" w:hAnsi="Calibri"/>
                <w:sz w:val="19"/>
              </w:rPr>
              <w:t>7</w:t>
            </w:r>
          </w:p>
        </w:tc>
        <w:tc>
          <w:tcPr>
            <w:tcW w:type="dxa" w:w="3022"/>
          </w:tcPr>
          <w:p>
            <w:pPr>
              <w:jc w:val="center"/>
            </w:pPr>
            <w:r>
              <w:rPr>
                <w:rFonts w:ascii="Calibri" w:hAnsi="Calibri"/>
                <w:sz w:val="19"/>
              </w:rPr>
              <w:t>Pool Refilled</w:t>
            </w:r>
          </w:p>
        </w:tc>
        <w:tc>
          <w:tcPr>
            <w:tcW w:type="dxa" w:w="3022"/>
          </w:tcPr>
          <w:p>
            <w:pPr>
              <w:jc w:val="center"/>
            </w:pPr>
            <w:r>
              <w:rPr>
                <w:rFonts w:ascii="Calibri" w:hAnsi="Calibri"/>
                <w:sz w:val="19"/>
              </w:rPr>
              <w:t>Repayments return to pool → next citizen funded</w:t>
            </w:r>
          </w:p>
        </w:tc>
      </w:tr>
      <w:tr>
        <w:tc>
          <w:tcPr>
            <w:tcW w:type="dxa" w:w="3022"/>
            <w:shd w:val="clear" w:color="auto" w:fill="EEF3FA"/>
          </w:tcPr>
          <w:p>
            <w:pPr>
              <w:jc w:val="left"/>
            </w:pPr>
            <w:r>
              <w:rPr>
                <w:rFonts w:ascii="Calibri" w:hAnsi="Calibri"/>
                <w:sz w:val="19"/>
              </w:rPr>
              <w:t>7b</w:t>
            </w:r>
          </w:p>
        </w:tc>
        <w:tc>
          <w:tcPr>
            <w:tcW w:type="dxa" w:w="3022"/>
            <w:shd w:val="clear" w:color="auto" w:fill="EEF3FA"/>
          </w:tcPr>
          <w:p>
            <w:pPr>
              <w:jc w:val="center"/>
            </w:pPr>
            <w:r>
              <w:rPr>
                <w:rFonts w:ascii="Calibri" w:hAnsi="Calibri"/>
                <w:sz w:val="19"/>
              </w:rPr>
              <w:t>TDRW Breaker</w:t>
            </w:r>
          </w:p>
        </w:tc>
        <w:tc>
          <w:tcPr>
            <w:tcW w:type="dxa" w:w="3022"/>
            <w:shd w:val="clear" w:color="auto" w:fill="EEF3FA"/>
          </w:tcPr>
          <w:p>
            <w:pPr>
              <w:jc w:val="center"/>
            </w:pPr>
            <w:r>
              <w:rPr>
                <w:rFonts w:ascii="Calibri" w:hAnsi="Calibri"/>
                <w:sz w:val="19"/>
              </w:rPr>
              <w:t>&lt; 30% repaid → freeze period calculated → pool protected</w:t>
            </w:r>
          </w:p>
        </w:tc>
      </w:tr>
    </w:tbl>
    <w:p>
      <w:pPr>
        <w:spacing w:after="60"/>
      </w:pPr>
    </w:p>
    <w:p>
      <w:pPr>
        <w:spacing w:before="200" w:after="100"/>
        <w:jc w:val="left"/>
      </w:pPr>
      <w:r>
        <w:rPr>
          <w:rFonts w:ascii="Calibri" w:hAnsi="Calibri"/>
          <w:b/>
          <w:color w:val="007A87"/>
          <w:sz w:val="28"/>
        </w:rPr>
        <w:t>2.2  TDRW — Default Self-Balancing Circuit</w:t>
      </w:r>
    </w:p>
    <w:p>
      <w:pPr>
        <w:spacing w:after="100" w:before="0"/>
        <w:jc w:val="left"/>
      </w:pPr>
      <w:r>
        <w:rPr>
          <w:rFonts w:ascii="Calibri" w:hAnsi="Calibri"/>
          <w:b w:val="0"/>
          <w:i w:val="0"/>
          <w:sz w:val="21"/>
        </w:rPr>
        <w:t>When a citizen repays less than 30% of their advance, a freeze period is calculated using three factors: default severity, repeat offences, and borrow period length.</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Scenario</w:t>
            </w:r>
          </w:p>
        </w:tc>
        <w:tc>
          <w:tcPr>
            <w:tcW w:type="dxa" w:w="2266"/>
            <w:shd w:val="clear" w:color="auto" w:fill="1A375E"/>
          </w:tcPr>
          <w:p>
            <w:pPr>
              <w:jc w:val="center"/>
            </w:pPr>
            <w:r>
              <w:rPr>
                <w:rFonts w:ascii="Calibri" w:hAnsi="Calibri"/>
                <w:b/>
                <w:color w:val="FFFFFF"/>
                <w:sz w:val="19"/>
              </w:rPr>
              <w:t>Repaid</w:t>
            </w:r>
          </w:p>
        </w:tc>
        <w:tc>
          <w:tcPr>
            <w:tcW w:type="dxa" w:w="2266"/>
            <w:shd w:val="clear" w:color="auto" w:fill="1A375E"/>
          </w:tcPr>
          <w:p>
            <w:pPr>
              <w:jc w:val="center"/>
            </w:pPr>
            <w:r>
              <w:rPr>
                <w:rFonts w:ascii="Calibri" w:hAnsi="Calibri"/>
                <w:b/>
                <w:color w:val="FFFFFF"/>
                <w:sz w:val="19"/>
              </w:rPr>
              <w:t>Prior Defaults</w:t>
            </w:r>
          </w:p>
        </w:tc>
        <w:tc>
          <w:tcPr>
            <w:tcW w:type="dxa" w:w="2266"/>
            <w:shd w:val="clear" w:color="auto" w:fill="1A375E"/>
          </w:tcPr>
          <w:p>
            <w:pPr>
              <w:jc w:val="center"/>
            </w:pPr>
            <w:r>
              <w:rPr>
                <w:rFonts w:ascii="Calibri" w:hAnsi="Calibri"/>
                <w:b/>
                <w:color w:val="FFFFFF"/>
                <w:sz w:val="19"/>
              </w:rPr>
              <w:t>Freeze Years</w:t>
            </w:r>
          </w:p>
        </w:tc>
      </w:tr>
      <w:tr>
        <w:tc>
          <w:tcPr>
            <w:tcW w:type="dxa" w:w="2266"/>
          </w:tcPr>
          <w:p>
            <w:pPr>
              <w:jc w:val="left"/>
            </w:pPr>
            <w:r>
              <w:rPr>
                <w:rFonts w:ascii="Calibri" w:hAnsi="Calibri"/>
                <w:sz w:val="19"/>
              </w:rPr>
              <w:t>Full default, 5yr TB</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3.33 yr</w:t>
            </w:r>
          </w:p>
        </w:tc>
      </w:tr>
      <w:tr>
        <w:tc>
          <w:tcPr>
            <w:tcW w:type="dxa" w:w="2266"/>
            <w:shd w:val="clear" w:color="auto" w:fill="EEF3FA"/>
          </w:tcPr>
          <w:p>
            <w:pPr>
              <w:jc w:val="left"/>
            </w:pPr>
            <w:r>
              <w:rPr>
                <w:rFonts w:ascii="Calibri" w:hAnsi="Calibri"/>
                <w:sz w:val="19"/>
              </w:rPr>
              <w:t>30% repaid (at threshold)</w:t>
            </w:r>
          </w:p>
        </w:tc>
        <w:tc>
          <w:tcPr>
            <w:tcW w:type="dxa" w:w="2266"/>
            <w:shd w:val="clear" w:color="auto" w:fill="EEF3FA"/>
          </w:tcPr>
          <w:p>
            <w:pPr>
              <w:jc w:val="center"/>
            </w:pPr>
            <w:r>
              <w:rPr>
                <w:rFonts w:ascii="Calibri" w:hAnsi="Calibri"/>
                <w:sz w:val="19"/>
              </w:rPr>
              <w:t>30%</w:t>
            </w:r>
          </w:p>
        </w:tc>
        <w:tc>
          <w:tcPr>
            <w:tcW w:type="dxa" w:w="2266"/>
            <w:shd w:val="clear" w:color="auto" w:fill="EEF3FA"/>
          </w:tcPr>
          <w:p>
            <w:pPr>
              <w:jc w:val="center"/>
            </w:pPr>
            <w:r>
              <w:rPr>
                <w:rFonts w:ascii="Calibri" w:hAnsi="Calibri"/>
                <w:sz w:val="19"/>
              </w:rPr>
              <w:t>0</w:t>
            </w:r>
          </w:p>
        </w:tc>
        <w:tc>
          <w:tcPr>
            <w:tcW w:type="dxa" w:w="2266"/>
            <w:shd w:val="clear" w:color="auto" w:fill="EEF3FA"/>
          </w:tcPr>
          <w:p>
            <w:pPr>
              <w:jc w:val="center"/>
            </w:pPr>
            <w:r>
              <w:rPr>
                <w:rFonts w:ascii="Calibri" w:hAnsi="Calibri"/>
                <w:sz w:val="19"/>
              </w:rPr>
              <w:t>0 yr — no freeze</w:t>
            </w:r>
          </w:p>
        </w:tc>
      </w:tr>
      <w:tr>
        <w:tc>
          <w:tcPr>
            <w:tcW w:type="dxa" w:w="2266"/>
          </w:tcPr>
          <w:p>
            <w:pPr>
              <w:jc w:val="left"/>
            </w:pPr>
            <w:r>
              <w:rPr>
                <w:rFonts w:ascii="Calibri" w:hAnsi="Calibri"/>
                <w:sz w:val="19"/>
              </w:rPr>
              <w:t>20% repaid, 5yr TB</w:t>
            </w:r>
          </w:p>
        </w:tc>
        <w:tc>
          <w:tcPr>
            <w:tcW w:type="dxa" w:w="2266"/>
          </w:tcPr>
          <w:p>
            <w:pPr>
              <w:jc w:val="center"/>
            </w:pPr>
            <w:r>
              <w:rPr>
                <w:rFonts w:ascii="Calibri" w:hAnsi="Calibri"/>
                <w:sz w:val="19"/>
              </w:rPr>
              <w:t>20%</w:t>
            </w:r>
          </w:p>
        </w:tc>
        <w:tc>
          <w:tcPr>
            <w:tcW w:type="dxa" w:w="2266"/>
          </w:tcPr>
          <w:p>
            <w:pPr>
              <w:jc w:val="center"/>
            </w:pPr>
            <w:r>
              <w:rPr>
                <w:rFonts w:ascii="Calibri" w:hAnsi="Calibri"/>
                <w:sz w:val="19"/>
              </w:rPr>
              <w:t>0</w:t>
            </w:r>
          </w:p>
        </w:tc>
        <w:tc>
          <w:tcPr>
            <w:tcW w:type="dxa" w:w="2266"/>
          </w:tcPr>
          <w:p>
            <w:pPr>
              <w:jc w:val="center"/>
            </w:pPr>
            <w:r>
              <w:rPr>
                <w:rFonts w:ascii="Calibri" w:hAnsi="Calibri"/>
                <w:sz w:val="19"/>
              </w:rPr>
              <w:t>2.22 yr</w:t>
            </w:r>
          </w:p>
        </w:tc>
      </w:tr>
      <w:tr>
        <w:tc>
          <w:tcPr>
            <w:tcW w:type="dxa" w:w="2266"/>
            <w:shd w:val="clear" w:color="auto" w:fill="EEF3FA"/>
          </w:tcPr>
          <w:p>
            <w:pPr>
              <w:jc w:val="left"/>
            </w:pPr>
            <w:r>
              <w:rPr>
                <w:rFonts w:ascii="Calibri" w:hAnsi="Calibri"/>
                <w:sz w:val="19"/>
              </w:rPr>
              <w:t>10% repaid, 5yr TB, 2nd time</w:t>
            </w:r>
          </w:p>
        </w:tc>
        <w:tc>
          <w:tcPr>
            <w:tcW w:type="dxa" w:w="2266"/>
            <w:shd w:val="clear" w:color="auto" w:fill="EEF3FA"/>
          </w:tcPr>
          <w:p>
            <w:pPr>
              <w:jc w:val="center"/>
            </w:pPr>
            <w:r>
              <w:rPr>
                <w:rFonts w:ascii="Calibri" w:hAnsi="Calibri"/>
                <w:sz w:val="19"/>
              </w:rPr>
              <w:t>10%</w:t>
            </w:r>
          </w:p>
        </w:tc>
        <w:tc>
          <w:tcPr>
            <w:tcW w:type="dxa" w:w="2266"/>
            <w:shd w:val="clear" w:color="auto" w:fill="EEF3FA"/>
          </w:tcPr>
          <w:p>
            <w:pPr>
              <w:jc w:val="center"/>
            </w:pPr>
            <w:r>
              <w:rPr>
                <w:rFonts w:ascii="Calibri" w:hAnsi="Calibri"/>
                <w:sz w:val="19"/>
              </w:rPr>
              <w:t>1</w:t>
            </w:r>
          </w:p>
        </w:tc>
        <w:tc>
          <w:tcPr>
            <w:tcW w:type="dxa" w:w="2266"/>
            <w:shd w:val="clear" w:color="auto" w:fill="EEF3FA"/>
          </w:tcPr>
          <w:p>
            <w:pPr>
              <w:jc w:val="center"/>
            </w:pPr>
            <w:r>
              <w:rPr>
                <w:rFonts w:ascii="Calibri" w:hAnsi="Calibri"/>
                <w:sz w:val="19"/>
              </w:rPr>
              <w:t>5.56 yr</w:t>
            </w:r>
          </w:p>
        </w:tc>
      </w:tr>
      <w:tr>
        <w:tc>
          <w:tcPr>
            <w:tcW w:type="dxa" w:w="2266"/>
          </w:tcPr>
          <w:p>
            <w:pPr>
              <w:jc w:val="left"/>
            </w:pPr>
            <w:r>
              <w:rPr>
                <w:rFonts w:ascii="Calibri" w:hAnsi="Calibri"/>
                <w:sz w:val="19"/>
              </w:rPr>
              <w:t>10% repaid, 3rd offence</w:t>
            </w:r>
          </w:p>
        </w:tc>
        <w:tc>
          <w:tcPr>
            <w:tcW w:type="dxa" w:w="2266"/>
          </w:tcPr>
          <w:p>
            <w:pPr>
              <w:jc w:val="center"/>
            </w:pPr>
            <w:r>
              <w:rPr>
                <w:rFonts w:ascii="Calibri" w:hAnsi="Calibri"/>
                <w:sz w:val="19"/>
              </w:rPr>
              <w:t>10%</w:t>
            </w:r>
          </w:p>
        </w:tc>
        <w:tc>
          <w:tcPr>
            <w:tcW w:type="dxa" w:w="2266"/>
          </w:tcPr>
          <w:p>
            <w:pPr>
              <w:jc w:val="center"/>
            </w:pPr>
            <w:r>
              <w:rPr>
                <w:rFonts w:ascii="Calibri" w:hAnsi="Calibri"/>
                <w:sz w:val="19"/>
              </w:rPr>
              <w:t>2</w:t>
            </w:r>
          </w:p>
        </w:tc>
        <w:tc>
          <w:tcPr>
            <w:tcW w:type="dxa" w:w="2266"/>
          </w:tcPr>
          <w:p>
            <w:pPr>
              <w:jc w:val="center"/>
            </w:pPr>
            <w:r>
              <w:rPr>
                <w:rFonts w:ascii="Calibri" w:hAnsi="Calibri"/>
                <w:sz w:val="19"/>
              </w:rPr>
              <w:t>7.00 yr (max cap)</w:t>
            </w:r>
          </w:p>
        </w:tc>
      </w:tr>
    </w:tbl>
    <w:p>
      <w:pPr>
        <w:spacing w:after="60"/>
      </w:pPr>
    </w:p>
    <w:p>
      <w:r>
        <w:br w:type="page"/>
      </w:r>
    </w:p>
    <w:p>
      <w:pPr>
        <w:spacing w:before="200" w:after="100"/>
        <w:jc w:val="left"/>
      </w:pPr>
      <w:r>
        <w:rPr>
          <w:rFonts w:ascii="Calibri" w:hAnsi="Calibri"/>
          <w:b/>
          <w:color w:val="1A375E"/>
          <w:sz w:val="36"/>
        </w:rPr>
        <w:t>3.  Advantages</w:t>
      </w:r>
    </w:p>
    <w:p>
      <w:pPr>
        <w:spacing w:before="80" w:after="80"/>
        <w:pBdr>
          <w:bottom w:val="single" w:sz="6" w:space="1" w:color="007A87"/>
        </w:pBdr>
      </w:pPr>
    </w:p>
    <w:p>
      <w:pPr>
        <w:spacing w:before="160" w:after="60"/>
        <w:jc w:val="left"/>
      </w:pPr>
      <w:r>
        <w:rPr>
          <w:rFonts w:ascii="Calibri" w:hAnsi="Calibri"/>
          <w:b/>
          <w:color w:val="007A87"/>
          <w:sz w:val="24"/>
        </w:rPr>
        <w:t>Zero Friction — No System Changes</w:t>
      </w:r>
    </w:p>
    <w:p>
      <w:pPr>
        <w:spacing w:after="100" w:before="0"/>
        <w:jc w:val="left"/>
      </w:pPr>
      <w:r>
        <w:rPr>
          <w:rFonts w:ascii="Calibri" w:hAnsi="Calibri"/>
          <w:b w:val="0"/>
          <w:i w:val="0"/>
          <w:sz w:val="21"/>
        </w:rPr>
        <w:t>The TBI does not require modifying any existing financial, banking, welfare, or monetary infrastructure. It is a purely additive, parallel instrument. Implementation requires only a digital registry and a ring-fenced treasury account.</w:t>
      </w:r>
    </w:p>
    <w:p>
      <w:pPr>
        <w:spacing w:before="160" w:after="60"/>
        <w:jc w:val="left"/>
      </w:pPr>
      <w:r>
        <w:rPr>
          <w:rFonts w:ascii="Calibri" w:hAnsi="Calibri"/>
          <w:b/>
          <w:color w:val="007A87"/>
          <w:sz w:val="24"/>
        </w:rPr>
        <w:t>Inflation-Neutral by Design</w:t>
      </w:r>
    </w:p>
    <w:p>
      <w:pPr>
        <w:spacing w:after="100" w:before="0"/>
        <w:jc w:val="left"/>
      </w:pPr>
      <w:r>
        <w:rPr>
          <w:rFonts w:ascii="Calibri" w:hAnsi="Calibri"/>
          <w:b w:val="0"/>
          <w:i w:val="0"/>
          <w:sz w:val="21"/>
        </w:rPr>
        <w:t>Every unit of capital advanced is backed by real, measurable automation output. Because TB capital scales with automation growth, money supply and real output grow together — eliminating inflationary pressure. Simulation: 0.53% avg inflation under TB vs 1.02% in baseline.</w:t>
      </w:r>
    </w:p>
    <w:p>
      <w:pPr>
        <w:spacing w:before="160" w:after="60"/>
        <w:jc w:val="left"/>
      </w:pPr>
      <w:r>
        <w:rPr>
          <w:rFonts w:ascii="Calibri" w:hAnsi="Calibri"/>
          <w:b/>
          <w:color w:val="007A87"/>
          <w:sz w:val="24"/>
        </w:rPr>
        <w:t>Self-Sustaining Pool</w:t>
      </w:r>
    </w:p>
    <w:p>
      <w:pPr>
        <w:spacing w:after="100" w:before="0"/>
        <w:jc w:val="left"/>
      </w:pPr>
      <w:r>
        <w:rPr>
          <w:rFonts w:ascii="Calibri" w:hAnsi="Calibri"/>
          <w:b w:val="0"/>
          <w:i w:val="0"/>
          <w:sz w:val="21"/>
        </w:rPr>
        <w:t>The pool grows from automation tax inflow and citizen repayments. In the 25-year simulation it grew from 132 to 2,809 units — 20× — with zero additional government subsidy required.</w:t>
      </w:r>
    </w:p>
    <w:p>
      <w:pPr>
        <w:spacing w:before="160" w:after="60"/>
        <w:jc w:val="left"/>
      </w:pPr>
      <w:r>
        <w:rPr>
          <w:rFonts w:ascii="Calibri" w:hAnsi="Calibri"/>
          <w:b/>
          <w:color w:val="007A87"/>
          <w:sz w:val="24"/>
        </w:rPr>
        <w:t>GDP Acceleration</w:t>
      </w:r>
    </w:p>
    <w:p>
      <w:pPr>
        <w:spacing w:after="100" w:before="0"/>
        <w:jc w:val="left"/>
      </w:pPr>
      <w:r>
        <w:rPr>
          <w:rFonts w:ascii="Calibri" w:hAnsi="Calibri"/>
          <w:b w:val="0"/>
          <w:i w:val="0"/>
          <w:sz w:val="21"/>
        </w:rPr>
        <w:t>TB-funded education (65% completion rate) and entrepreneurship (40% startup survival) create a productivity multiplier. Net result: 59% more GDP than baseline over 25 years, CAGR 5.86%/yr vs 3.87%/yr.</w:t>
      </w:r>
    </w:p>
    <w:p>
      <w:pPr>
        <w:spacing w:before="160" w:after="60"/>
        <w:jc w:val="left"/>
      </w:pPr>
      <w:r>
        <w:rPr>
          <w:rFonts w:ascii="Calibri" w:hAnsi="Calibri"/>
          <w:b/>
          <w:color w:val="007A87"/>
          <w:sz w:val="24"/>
        </w:rPr>
        <w:t>Inequality Reduction Without Redistribution Politics</w:t>
      </w:r>
    </w:p>
    <w:p>
      <w:pPr>
        <w:spacing w:after="100" w:before="0"/>
        <w:jc w:val="left"/>
      </w:pPr>
      <w:r>
        <w:rPr>
          <w:rFonts w:ascii="Calibri" w:hAnsi="Calibri"/>
          <w:b w:val="0"/>
          <w:i w:val="0"/>
          <w:sz w:val="21"/>
        </w:rPr>
        <w:t>TB is repayable and productivity-linked — not redistribution. Gini fell from 0.358 to 0.323 over 25 years. Social mobility is restored because the ability to borrow is equal regardless of starting wealth.</w:t>
      </w:r>
    </w:p>
    <w:p>
      <w:pPr>
        <w:spacing w:before="160" w:after="60"/>
        <w:jc w:val="left"/>
      </w:pPr>
      <w:r>
        <w:rPr>
          <w:rFonts w:ascii="Calibri" w:hAnsi="Calibri"/>
          <w:b/>
          <w:color w:val="007A87"/>
          <w:sz w:val="24"/>
        </w:rPr>
        <w:t>No New Debt or Income Tax Rises</w:t>
      </w:r>
    </w:p>
    <w:p>
      <w:pPr>
        <w:spacing w:after="100" w:before="0"/>
        <w:jc w:val="left"/>
      </w:pPr>
      <w:r>
        <w:rPr>
          <w:rFonts w:ascii="Calibri" w:hAnsi="Calibri"/>
          <w:b w:val="0"/>
          <w:i w:val="0"/>
          <w:sz w:val="21"/>
        </w:rPr>
        <w:t>Funded entirely by the Automation and AI Tax levied on corporate AI users. No income tax increases, no national debt expansion, no bank credit creation.</w:t>
      </w:r>
    </w:p>
    <w:p>
      <w:r>
        <w:br w:type="page"/>
      </w:r>
    </w:p>
    <w:p>
      <w:pPr>
        <w:spacing w:before="200" w:after="100"/>
        <w:jc w:val="left"/>
      </w:pPr>
      <w:r>
        <w:rPr>
          <w:rFonts w:ascii="Calibri" w:hAnsi="Calibri"/>
          <w:b/>
          <w:color w:val="1A375E"/>
          <w:sz w:val="36"/>
        </w:rPr>
        <w:t>4.  Disadvantages and Risks</w:t>
      </w:r>
    </w:p>
    <w:p>
      <w:pPr>
        <w:spacing w:before="80" w:after="80"/>
        <w:pBdr>
          <w:bottom w:val="single" w:sz="6" w:space="1" w:color="007A87"/>
        </w:pBdr>
      </w:pPr>
    </w:p>
    <w:p>
      <w:pPr>
        <w:spacing w:before="160" w:after="60"/>
        <w:jc w:val="left"/>
      </w:pPr>
      <w:r>
        <w:rPr>
          <w:rFonts w:ascii="Calibri" w:hAnsi="Calibri"/>
          <w:b/>
          <w:color w:val="AD1F1F"/>
          <w:sz w:val="24"/>
        </w:rPr>
        <w:t>Automation Tax Resistance</w:t>
      </w:r>
    </w:p>
    <w:p>
      <w:pPr>
        <w:spacing w:after="100" w:before="0"/>
        <w:jc w:val="left"/>
      </w:pPr>
      <w:r>
        <w:rPr>
          <w:rFonts w:ascii="Calibri" w:hAnsi="Calibri"/>
          <w:b w:val="0"/>
          <w:i w:val="0"/>
          <w:color w:val="441111"/>
          <w:sz w:val="21"/>
        </w:rPr>
        <w:t>Risk: Large technology corporations will resist the levy. Lobbying may prevent meaningful rates or drive automation offshore to jurisdictions without the tax.</w:t>
      </w:r>
    </w:p>
    <w:p>
      <w:pPr>
        <w:spacing w:after="100" w:before="0"/>
        <w:jc w:val="left"/>
      </w:pPr>
      <w:r>
        <w:rPr>
          <w:rFonts w:ascii="Calibri" w:hAnsi="Calibri"/>
          <w:b w:val="0"/>
          <w:i/>
          <w:color w:val="1A7A4A"/>
          <w:sz w:val="21"/>
        </w:rPr>
        <w:t>Mitigation: Start at 5% to build consensus. International OECD coordination prevents arbitrage (analogous to global minimum corporate tax, adopted 2023).</w:t>
      </w:r>
    </w:p>
    <w:p>
      <w:pPr>
        <w:spacing w:before="160" w:after="60"/>
        <w:jc w:val="left"/>
      </w:pPr>
      <w:r>
        <w:rPr>
          <w:rFonts w:ascii="Calibri" w:hAnsi="Calibri"/>
          <w:b/>
          <w:color w:val="AD1F1F"/>
          <w:sz w:val="24"/>
        </w:rPr>
        <w:t>'Future Time' Cannot Be Seized</w:t>
      </w:r>
    </w:p>
    <w:p>
      <w:pPr>
        <w:spacing w:after="100" w:before="0"/>
        <w:jc w:val="left"/>
      </w:pPr>
      <w:r>
        <w:rPr>
          <w:rFonts w:ascii="Calibri" w:hAnsi="Calibri"/>
          <w:b w:val="0"/>
          <w:i w:val="0"/>
          <w:color w:val="441111"/>
          <w:sz w:val="21"/>
        </w:rPr>
        <w:t>Risk: Unlike financial collateral, future time cannot be repossessed if a borrower defaults. The only enforcement is the TDRW freeze — which has no impact on those who simply choose never to re-borrow.</w:t>
      </w:r>
    </w:p>
    <w:p>
      <w:pPr>
        <w:spacing w:after="100" w:before="0"/>
        <w:jc w:val="left"/>
      </w:pPr>
      <w:r>
        <w:rPr>
          <w:rFonts w:ascii="Calibri" w:hAnsi="Calibri"/>
          <w:b w:val="0"/>
          <w:i/>
          <w:color w:val="1A7A4A"/>
          <w:sz w:val="21"/>
        </w:rPr>
        <w:t>Mitigation: Pool is stress-tested to absorb up to 30% loss rate and remain solvent. Automation tax revenue provides a continuous buffer.</w:t>
      </w:r>
    </w:p>
    <w:p>
      <w:pPr>
        <w:spacing w:before="160" w:after="60"/>
        <w:jc w:val="left"/>
      </w:pPr>
      <w:r>
        <w:rPr>
          <w:rFonts w:ascii="Calibri" w:hAnsi="Calibri"/>
          <w:b/>
          <w:color w:val="AD1F1F"/>
          <w:sz w:val="24"/>
        </w:rPr>
        <w:t>Measuring Automation Output for Taxation</w:t>
      </w:r>
    </w:p>
    <w:p>
      <w:pPr>
        <w:spacing w:after="100" w:before="0"/>
        <w:jc w:val="left"/>
      </w:pPr>
      <w:r>
        <w:rPr>
          <w:rFonts w:ascii="Calibri" w:hAnsi="Calibri"/>
          <w:b w:val="0"/>
          <w:i w:val="0"/>
          <w:color w:val="441111"/>
          <w:sz w:val="21"/>
        </w:rPr>
        <w:t>Risk: Tax authorities currently have no standard method to measure 'AI output value'. Transfer pricing disputes in multinationals add complexity.</w:t>
      </w:r>
    </w:p>
    <w:p>
      <w:pPr>
        <w:spacing w:after="100" w:before="0"/>
        <w:jc w:val="left"/>
      </w:pPr>
      <w:r>
        <w:rPr>
          <w:rFonts w:ascii="Calibri" w:hAnsi="Calibri"/>
          <w:b w:val="0"/>
          <w:i/>
          <w:color w:val="1A7A4A"/>
          <w:sz w:val="21"/>
        </w:rPr>
        <w:t>Mitigation: Use proxy metrics initially (compute spend, or cost savings vs prior labour cost). Imperfect but immediately implementable.</w:t>
      </w:r>
    </w:p>
    <w:p>
      <w:pPr>
        <w:spacing w:before="160" w:after="60"/>
        <w:jc w:val="left"/>
      </w:pPr>
      <w:r>
        <w:rPr>
          <w:rFonts w:ascii="Calibri" w:hAnsi="Calibri"/>
          <w:b/>
          <w:color w:val="AD1F1F"/>
          <w:sz w:val="24"/>
        </w:rPr>
        <w:t>Moral Hazard and Gaming</w:t>
      </w:r>
    </w:p>
    <w:p>
      <w:pPr>
        <w:spacing w:after="100" w:before="0"/>
        <w:jc w:val="left"/>
      </w:pPr>
      <w:r>
        <w:rPr>
          <w:rFonts w:ascii="Calibri" w:hAnsi="Calibri"/>
          <w:b w:val="0"/>
          <w:i w:val="0"/>
          <w:color w:val="441111"/>
          <w:sz w:val="21"/>
        </w:rPr>
        <w:t>Risk: Citizens could deliberately take the maximum advance, default, and accept the freeze — especially if they do not intend to re-borrow.</w:t>
      </w:r>
    </w:p>
    <w:p>
      <w:pPr>
        <w:spacing w:after="100" w:before="0"/>
        <w:jc w:val="left"/>
      </w:pPr>
      <w:r>
        <w:rPr>
          <w:rFonts w:ascii="Calibri" w:hAnsi="Calibri"/>
          <w:b w:val="0"/>
          <w:i/>
          <w:color w:val="1A7A4A"/>
          <w:sz w:val="21"/>
        </w:rPr>
        <w:t>Mitigation: TDRW escalation: repeat offences multiply the freeze duration. The automation tax, not other citizens, absorbs the loss.</w:t>
      </w:r>
    </w:p>
    <w:p>
      <w:pPr>
        <w:spacing w:before="160" w:after="60"/>
        <w:jc w:val="left"/>
      </w:pPr>
      <w:r>
        <w:rPr>
          <w:rFonts w:ascii="Calibri" w:hAnsi="Calibri"/>
          <w:b/>
          <w:color w:val="AD1F1F"/>
          <w:sz w:val="24"/>
        </w:rPr>
        <w:t>Transition Phase — Small Pool at Start</w:t>
      </w:r>
    </w:p>
    <w:p>
      <w:pPr>
        <w:spacing w:after="100" w:before="0"/>
        <w:jc w:val="left"/>
      </w:pPr>
      <w:r>
        <w:rPr>
          <w:rFonts w:ascii="Calibri" w:hAnsi="Calibri"/>
          <w:b w:val="0"/>
          <w:i w:val="0"/>
          <w:color w:val="441111"/>
          <w:sz w:val="21"/>
        </w:rPr>
        <w:t>Risk: In Years 1–3 the pool is small; advances may be below maximum levels. Managing public expectations is critical.</w:t>
      </w:r>
    </w:p>
    <w:p>
      <w:pPr>
        <w:spacing w:after="100" w:before="0"/>
        <w:jc w:val="left"/>
      </w:pPr>
      <w:r>
        <w:rPr>
          <w:rFonts w:ascii="Calibri" w:hAnsi="Calibri"/>
          <w:b w:val="0"/>
          <w:i/>
          <w:color w:val="1A7A4A"/>
          <w:sz w:val="21"/>
        </w:rPr>
        <w:t>Mitigation: One-time government seed capital (2× first-year automation tax) bridges the ramp-up. This is a bounded, single commitment — not an open-ended subsidy.</w:t>
      </w:r>
    </w:p>
    <w:p>
      <w:r>
        <w:br w:type="page"/>
      </w:r>
    </w:p>
    <w:p>
      <w:pPr>
        <w:spacing w:before="200" w:after="100"/>
        <w:jc w:val="left"/>
      </w:pPr>
      <w:r>
        <w:rPr>
          <w:rFonts w:ascii="Calibri" w:hAnsi="Calibri"/>
          <w:b/>
          <w:color w:val="1A375E"/>
          <w:sz w:val="36"/>
        </w:rPr>
        <w:t>5.  Economic Simulation — Proof of Concept</w:t>
      </w:r>
    </w:p>
    <w:p>
      <w:pPr>
        <w:spacing w:before="80" w:after="80"/>
        <w:pBdr>
          <w:bottom w:val="single" w:sz="6" w:space="1" w:color="007A87"/>
        </w:pBdr>
      </w:pPr>
    </w:p>
    <w:p>
      <w:pPr>
        <w:spacing w:after="100" w:before="0"/>
        <w:jc w:val="left"/>
      </w:pPr>
      <w:r>
        <w:rPr>
          <w:rFonts w:ascii="Calibri" w:hAnsi="Calibri"/>
          <w:b w:val="0"/>
          <w:i w:val="0"/>
          <w:sz w:val="21"/>
        </w:rPr>
        <w:t>An agent-based economic simulation was developed by the author using Python, incorporating 36 established economic equations (Solow, Taylor Rule, Fisher, Keynesian multipliers, Mincer human capital, custom TB equations) across 4 scenarios and 25 years. All 293 unit tests pass.</w:t>
      </w:r>
    </w:p>
    <w:p>
      <w:pPr>
        <w:spacing w:before="200" w:after="100"/>
        <w:jc w:val="left"/>
      </w:pPr>
      <w:r>
        <w:rPr>
          <w:rFonts w:ascii="Calibri" w:hAnsi="Calibri"/>
          <w:b/>
          <w:color w:val="007A87"/>
          <w:sz w:val="28"/>
        </w:rPr>
        <w:t>5.1  The 10 Proof Points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7A4A"/>
          </w:tcPr>
          <w:p>
            <w:pPr>
              <w:jc w:val="center"/>
            </w:pPr>
            <w:r>
              <w:rPr>
                <w:rFonts w:ascii="Calibri" w:hAnsi="Calibri"/>
                <w:b/>
                <w:color w:val="FFFFFF"/>
                <w:sz w:val="19"/>
              </w:rPr>
              <w:t>#</w:t>
            </w:r>
          </w:p>
        </w:tc>
        <w:tc>
          <w:tcPr>
            <w:tcW w:type="dxa" w:w="2266"/>
            <w:shd w:val="clear" w:color="auto" w:fill="1A7A4A"/>
          </w:tcPr>
          <w:p>
            <w:pPr>
              <w:jc w:val="center"/>
            </w:pPr>
            <w:r>
              <w:rPr>
                <w:rFonts w:ascii="Calibri" w:hAnsi="Calibri"/>
                <w:b/>
                <w:color w:val="FFFFFF"/>
                <w:sz w:val="19"/>
              </w:rPr>
              <w:t>Proof Point</w:t>
            </w:r>
          </w:p>
        </w:tc>
        <w:tc>
          <w:tcPr>
            <w:tcW w:type="dxa" w:w="2266"/>
            <w:shd w:val="clear" w:color="auto" w:fill="1A7A4A"/>
          </w:tcPr>
          <w:p>
            <w:pPr>
              <w:jc w:val="center"/>
            </w:pPr>
            <w:r>
              <w:rPr>
                <w:rFonts w:ascii="Calibri" w:hAnsi="Calibri"/>
                <w:b/>
                <w:color w:val="FFFFFF"/>
                <w:sz w:val="19"/>
              </w:rPr>
              <w:t>Result</w:t>
            </w:r>
          </w:p>
        </w:tc>
        <w:tc>
          <w:tcPr>
            <w:tcW w:type="dxa" w:w="2266"/>
            <w:shd w:val="clear" w:color="auto" w:fill="1A7A4A"/>
          </w:tcPr>
          <w:p>
            <w:pPr>
              <w:jc w:val="center"/>
            </w:pPr>
            <w:r>
              <w:rPr>
                <w:rFonts w:ascii="Calibri" w:hAnsi="Calibri"/>
                <w:b/>
                <w:color w:val="FFFFFF"/>
                <w:sz w:val="19"/>
              </w:rPr>
              <w:t>Evidence</w:t>
            </w:r>
          </w:p>
        </w:tc>
      </w:tr>
      <w:tr>
        <w:tc>
          <w:tcPr>
            <w:tcW w:type="dxa" w:w="2266"/>
          </w:tcPr>
          <w:p>
            <w:pPr>
              <w:jc w:val="left"/>
            </w:pPr>
            <w:r>
              <w:rPr>
                <w:rFonts w:ascii="Calibri" w:hAnsi="Calibri"/>
                <w:sz w:val="19"/>
              </w:rPr>
              <w:t>PP1</w:t>
            </w:r>
          </w:p>
        </w:tc>
        <w:tc>
          <w:tcPr>
            <w:tcW w:type="dxa" w:w="2266"/>
          </w:tcPr>
          <w:p>
            <w:pPr>
              <w:jc w:val="center"/>
            </w:pPr>
            <w:r>
              <w:rPr>
                <w:rFonts w:ascii="Calibri" w:hAnsi="Calibri"/>
                <w:sz w:val="19"/>
              </w:rPr>
              <w:t>TB grows GDP faster than baseline</w:t>
            </w:r>
          </w:p>
        </w:tc>
        <w:tc>
          <w:tcPr>
            <w:tcW w:type="dxa" w:w="2266"/>
          </w:tcPr>
          <w:p>
            <w:pPr>
              <w:jc w:val="center"/>
            </w:pPr>
            <w:r>
              <w:rPr>
                <w:rFonts w:ascii="Calibri" w:hAnsi="Calibri"/>
                <w:sz w:val="19"/>
              </w:rPr>
              <w:t>PROVEN</w:t>
            </w:r>
          </w:p>
        </w:tc>
        <w:tc>
          <w:tcPr>
            <w:tcW w:type="dxa" w:w="2266"/>
          </w:tcPr>
          <w:p>
            <w:pPr>
              <w:jc w:val="center"/>
            </w:pPr>
            <w:r>
              <w:rPr>
                <w:rFonts w:ascii="Calibri" w:hAnsi="Calibri"/>
                <w:sz w:val="19"/>
              </w:rPr>
              <w:t>+59.0% GDP</w:t>
            </w:r>
          </w:p>
        </w:tc>
      </w:tr>
      <w:tr>
        <w:tc>
          <w:tcPr>
            <w:tcW w:type="dxa" w:w="2266"/>
            <w:shd w:val="clear" w:color="auto" w:fill="EEF3FA"/>
          </w:tcPr>
          <w:p>
            <w:pPr>
              <w:jc w:val="left"/>
            </w:pPr>
            <w:r>
              <w:rPr>
                <w:rFonts w:ascii="Calibri" w:hAnsi="Calibri"/>
                <w:sz w:val="19"/>
              </w:rPr>
              <w:t>PP2</w:t>
            </w:r>
          </w:p>
        </w:tc>
        <w:tc>
          <w:tcPr>
            <w:tcW w:type="dxa" w:w="2266"/>
            <w:shd w:val="clear" w:color="auto" w:fill="EEF3FA"/>
          </w:tcPr>
          <w:p>
            <w:pPr>
              <w:jc w:val="center"/>
            </w:pPr>
            <w:r>
              <w:rPr>
                <w:rFonts w:ascii="Calibri" w:hAnsi="Calibri"/>
                <w:sz w:val="19"/>
              </w:rPr>
              <w:t>TB does not cause excess inflation</w:t>
            </w:r>
          </w:p>
        </w:tc>
        <w:tc>
          <w:tcPr>
            <w:tcW w:type="dxa" w:w="2266"/>
            <w:shd w:val="clear" w:color="auto" w:fill="EEF3FA"/>
          </w:tcPr>
          <w:p>
            <w:pPr>
              <w:jc w:val="center"/>
            </w:pPr>
            <w:r>
              <w:rPr>
                <w:rFonts w:ascii="Calibri" w:hAnsi="Calibri"/>
                <w:sz w:val="19"/>
              </w:rPr>
              <w:t>PROVEN</w:t>
            </w:r>
          </w:p>
        </w:tc>
        <w:tc>
          <w:tcPr>
            <w:tcW w:type="dxa" w:w="2266"/>
            <w:shd w:val="clear" w:color="auto" w:fill="EEF3FA"/>
          </w:tcPr>
          <w:p>
            <w:pPr>
              <w:jc w:val="center"/>
            </w:pPr>
            <w:r>
              <w:rPr>
                <w:rFonts w:ascii="Calibri" w:hAnsi="Calibri"/>
                <w:sz w:val="19"/>
              </w:rPr>
              <w:t>0.53% vs 1.02%</w:t>
            </w:r>
          </w:p>
        </w:tc>
      </w:tr>
      <w:tr>
        <w:tc>
          <w:tcPr>
            <w:tcW w:type="dxa" w:w="2266"/>
          </w:tcPr>
          <w:p>
            <w:pPr>
              <w:jc w:val="left"/>
            </w:pPr>
            <w:r>
              <w:rPr>
                <w:rFonts w:ascii="Calibri" w:hAnsi="Calibri"/>
                <w:sz w:val="19"/>
              </w:rPr>
              <w:t>PP3</w:t>
            </w:r>
          </w:p>
        </w:tc>
        <w:tc>
          <w:tcPr>
            <w:tcW w:type="dxa" w:w="2266"/>
          </w:tcPr>
          <w:p>
            <w:pPr>
              <w:jc w:val="center"/>
            </w:pPr>
            <w:r>
              <w:rPr>
                <w:rFonts w:ascii="Calibri" w:hAnsi="Calibri"/>
                <w:sz w:val="19"/>
              </w:rPr>
              <w:t>TB pool is self-sustaining</w:t>
            </w:r>
          </w:p>
        </w:tc>
        <w:tc>
          <w:tcPr>
            <w:tcW w:type="dxa" w:w="2266"/>
          </w:tcPr>
          <w:p>
            <w:pPr>
              <w:jc w:val="center"/>
            </w:pPr>
            <w:r>
              <w:rPr>
                <w:rFonts w:ascii="Calibri" w:hAnsi="Calibri"/>
                <w:sz w:val="19"/>
              </w:rPr>
              <w:t>PROVEN</w:t>
            </w:r>
          </w:p>
        </w:tc>
        <w:tc>
          <w:tcPr>
            <w:tcW w:type="dxa" w:w="2266"/>
          </w:tcPr>
          <w:p>
            <w:pPr>
              <w:jc w:val="center"/>
            </w:pPr>
            <w:r>
              <w:rPr>
                <w:rFonts w:ascii="Calibri" w:hAnsi="Calibri"/>
                <w:sz w:val="19"/>
              </w:rPr>
              <w:t>132 → 2,809 (20×)</w:t>
            </w:r>
          </w:p>
        </w:tc>
      </w:tr>
      <w:tr>
        <w:tc>
          <w:tcPr>
            <w:tcW w:type="dxa" w:w="2266"/>
            <w:shd w:val="clear" w:color="auto" w:fill="EEF3FA"/>
          </w:tcPr>
          <w:p>
            <w:pPr>
              <w:jc w:val="left"/>
            </w:pPr>
            <w:r>
              <w:rPr>
                <w:rFonts w:ascii="Calibri" w:hAnsi="Calibri"/>
                <w:sz w:val="19"/>
              </w:rPr>
              <w:t>PP4</w:t>
            </w:r>
          </w:p>
        </w:tc>
        <w:tc>
          <w:tcPr>
            <w:tcW w:type="dxa" w:w="2266"/>
            <w:shd w:val="clear" w:color="auto" w:fill="EEF3FA"/>
          </w:tcPr>
          <w:p>
            <w:pPr>
              <w:jc w:val="center"/>
            </w:pPr>
            <w:r>
              <w:rPr>
                <w:rFonts w:ascii="Calibri" w:hAnsi="Calibri"/>
                <w:sz w:val="19"/>
              </w:rPr>
              <w:t>TB reduces inequality (Gini)</w:t>
            </w:r>
          </w:p>
        </w:tc>
        <w:tc>
          <w:tcPr>
            <w:tcW w:type="dxa" w:w="2266"/>
            <w:shd w:val="clear" w:color="auto" w:fill="EEF3FA"/>
          </w:tcPr>
          <w:p>
            <w:pPr>
              <w:jc w:val="center"/>
            </w:pPr>
            <w:r>
              <w:rPr>
                <w:rFonts w:ascii="Calibri" w:hAnsi="Calibri"/>
                <w:sz w:val="19"/>
              </w:rPr>
              <w:t>PROVEN</w:t>
            </w:r>
          </w:p>
        </w:tc>
        <w:tc>
          <w:tcPr>
            <w:tcW w:type="dxa" w:w="2266"/>
            <w:shd w:val="clear" w:color="auto" w:fill="EEF3FA"/>
          </w:tcPr>
          <w:p>
            <w:pPr>
              <w:jc w:val="center"/>
            </w:pPr>
            <w:r>
              <w:rPr>
                <w:rFonts w:ascii="Calibri" w:hAnsi="Calibri"/>
                <w:sz w:val="19"/>
              </w:rPr>
              <w:t>0.358 → 0.323</w:t>
            </w:r>
          </w:p>
        </w:tc>
      </w:tr>
      <w:tr>
        <w:tc>
          <w:tcPr>
            <w:tcW w:type="dxa" w:w="2266"/>
          </w:tcPr>
          <w:p>
            <w:pPr>
              <w:jc w:val="left"/>
            </w:pPr>
            <w:r>
              <w:rPr>
                <w:rFonts w:ascii="Calibri" w:hAnsi="Calibri"/>
                <w:sz w:val="19"/>
              </w:rPr>
              <w:t>PP5</w:t>
            </w:r>
          </w:p>
        </w:tc>
        <w:tc>
          <w:tcPr>
            <w:tcW w:type="dxa" w:w="2266"/>
          </w:tcPr>
          <w:p>
            <w:pPr>
              <w:jc w:val="center"/>
            </w:pPr>
            <w:r>
              <w:rPr>
                <w:rFonts w:ascii="Calibri" w:hAnsi="Calibri"/>
                <w:sz w:val="19"/>
              </w:rPr>
              <w:t>No welfare dependency bloat</w:t>
            </w:r>
          </w:p>
        </w:tc>
        <w:tc>
          <w:tcPr>
            <w:tcW w:type="dxa" w:w="2266"/>
          </w:tcPr>
          <w:p>
            <w:pPr>
              <w:jc w:val="center"/>
            </w:pPr>
            <w:r>
              <w:rPr>
                <w:rFonts w:ascii="Calibri" w:hAnsi="Calibri"/>
                <w:sz w:val="19"/>
              </w:rPr>
              <w:t>PROVEN</w:t>
            </w:r>
          </w:p>
        </w:tc>
        <w:tc>
          <w:tcPr>
            <w:tcW w:type="dxa" w:w="2266"/>
          </w:tcPr>
          <w:p>
            <w:pPr>
              <w:jc w:val="center"/>
            </w:pPr>
            <w:r>
              <w:rPr>
                <w:rFonts w:ascii="Calibri" w:hAnsi="Calibri"/>
                <w:sz w:val="19"/>
              </w:rPr>
              <w:t>Welfare/GDP = 12% stable</w:t>
            </w:r>
          </w:p>
        </w:tc>
      </w:tr>
      <w:tr>
        <w:tc>
          <w:tcPr>
            <w:tcW w:type="dxa" w:w="2266"/>
            <w:shd w:val="clear" w:color="auto" w:fill="EEF3FA"/>
          </w:tcPr>
          <w:p>
            <w:pPr>
              <w:jc w:val="left"/>
            </w:pPr>
            <w:r>
              <w:rPr>
                <w:rFonts w:ascii="Calibri" w:hAnsi="Calibri"/>
                <w:sz w:val="19"/>
              </w:rPr>
              <w:t>PP6</w:t>
            </w:r>
          </w:p>
        </w:tc>
        <w:tc>
          <w:tcPr>
            <w:tcW w:type="dxa" w:w="2266"/>
            <w:shd w:val="clear" w:color="auto" w:fill="EEF3FA"/>
          </w:tcPr>
          <w:p>
            <w:pPr>
              <w:jc w:val="center"/>
            </w:pPr>
            <w:r>
              <w:rPr>
                <w:rFonts w:ascii="Calibri" w:hAnsi="Calibri"/>
                <w:sz w:val="19"/>
              </w:rPr>
              <w:t>TB boosts worker productivity</w:t>
            </w:r>
          </w:p>
        </w:tc>
        <w:tc>
          <w:tcPr>
            <w:tcW w:type="dxa" w:w="2266"/>
            <w:shd w:val="clear" w:color="auto" w:fill="EEF3FA"/>
          </w:tcPr>
          <w:p>
            <w:pPr>
              <w:jc w:val="center"/>
            </w:pPr>
            <w:r>
              <w:rPr>
                <w:rFonts w:ascii="Calibri" w:hAnsi="Calibri"/>
                <w:sz w:val="19"/>
              </w:rPr>
              <w:t>PROVEN</w:t>
            </w:r>
          </w:p>
        </w:tc>
        <w:tc>
          <w:tcPr>
            <w:tcW w:type="dxa" w:w="2266"/>
            <w:shd w:val="clear" w:color="auto" w:fill="EEF3FA"/>
          </w:tcPr>
          <w:p>
            <w:pPr>
              <w:jc w:val="center"/>
            </w:pPr>
            <w:r>
              <w:rPr>
                <w:rFonts w:ascii="Calibri" w:hAnsi="Calibri"/>
                <w:sz w:val="19"/>
              </w:rPr>
              <w:t>+50.2%</w:t>
            </w:r>
          </w:p>
        </w:tc>
      </w:tr>
      <w:tr>
        <w:tc>
          <w:tcPr>
            <w:tcW w:type="dxa" w:w="2266"/>
          </w:tcPr>
          <w:p>
            <w:pPr>
              <w:jc w:val="left"/>
            </w:pPr>
            <w:r>
              <w:rPr>
                <w:rFonts w:ascii="Calibri" w:hAnsi="Calibri"/>
                <w:sz w:val="19"/>
              </w:rPr>
              <w:t>PP7</w:t>
            </w:r>
          </w:p>
        </w:tc>
        <w:tc>
          <w:tcPr>
            <w:tcW w:type="dxa" w:w="2266"/>
          </w:tcPr>
          <w:p>
            <w:pPr>
              <w:jc w:val="center"/>
            </w:pPr>
            <w:r>
              <w:rPr>
                <w:rFonts w:ascii="Calibri" w:hAnsi="Calibri"/>
                <w:sz w:val="19"/>
              </w:rPr>
              <w:t>TB beats automation-alone</w:t>
            </w:r>
          </w:p>
        </w:tc>
        <w:tc>
          <w:tcPr>
            <w:tcW w:type="dxa" w:w="2266"/>
          </w:tcPr>
          <w:p>
            <w:pPr>
              <w:jc w:val="center"/>
            </w:pPr>
            <w:r>
              <w:rPr>
                <w:rFonts w:ascii="Calibri" w:hAnsi="Calibri"/>
                <w:sz w:val="19"/>
              </w:rPr>
              <w:t>PROVEN</w:t>
            </w:r>
          </w:p>
        </w:tc>
        <w:tc>
          <w:tcPr>
            <w:tcW w:type="dxa" w:w="2266"/>
          </w:tcPr>
          <w:p>
            <w:pPr>
              <w:jc w:val="center"/>
            </w:pPr>
            <w:r>
              <w:rPr>
                <w:rFonts w:ascii="Calibri" w:hAnsi="Calibri"/>
                <w:sz w:val="19"/>
              </w:rPr>
              <w:t>20,521 vs 14,578 GDP</w:t>
            </w:r>
          </w:p>
        </w:tc>
      </w:tr>
      <w:tr>
        <w:tc>
          <w:tcPr>
            <w:tcW w:type="dxa" w:w="2266"/>
            <w:shd w:val="clear" w:color="auto" w:fill="EEF3FA"/>
          </w:tcPr>
          <w:p>
            <w:pPr>
              <w:jc w:val="left"/>
            </w:pPr>
            <w:r>
              <w:rPr>
                <w:rFonts w:ascii="Calibri" w:hAnsi="Calibri"/>
                <w:sz w:val="19"/>
              </w:rPr>
              <w:t>PP8</w:t>
            </w:r>
          </w:p>
        </w:tc>
        <w:tc>
          <w:tcPr>
            <w:tcW w:type="dxa" w:w="2266"/>
            <w:shd w:val="clear" w:color="auto" w:fill="EEF3FA"/>
          </w:tcPr>
          <w:p>
            <w:pPr>
              <w:jc w:val="center"/>
            </w:pPr>
            <w:r>
              <w:rPr>
                <w:rFonts w:ascii="Calibri" w:hAnsi="Calibri"/>
                <w:sz w:val="19"/>
              </w:rPr>
              <w:t>TB survives stress test</w:t>
            </w:r>
          </w:p>
        </w:tc>
        <w:tc>
          <w:tcPr>
            <w:tcW w:type="dxa" w:w="2266"/>
            <w:shd w:val="clear" w:color="auto" w:fill="EEF3FA"/>
          </w:tcPr>
          <w:p>
            <w:pPr>
              <w:jc w:val="center"/>
            </w:pPr>
            <w:r>
              <w:rPr>
                <w:rFonts w:ascii="Calibri" w:hAnsi="Calibri"/>
                <w:sz w:val="19"/>
              </w:rPr>
              <w:t>PROVEN</w:t>
            </w:r>
          </w:p>
        </w:tc>
        <w:tc>
          <w:tcPr>
            <w:tcW w:type="dxa" w:w="2266"/>
            <w:shd w:val="clear" w:color="auto" w:fill="EEF3FA"/>
          </w:tcPr>
          <w:p>
            <w:pPr>
              <w:jc w:val="center"/>
            </w:pPr>
            <w:r>
              <w:rPr>
                <w:rFonts w:ascii="Calibri" w:hAnsi="Calibri"/>
                <w:sz w:val="19"/>
              </w:rPr>
              <w:t>Pool positive after shocks</w:t>
            </w:r>
          </w:p>
        </w:tc>
      </w:tr>
      <w:tr>
        <w:tc>
          <w:tcPr>
            <w:tcW w:type="dxa" w:w="2266"/>
          </w:tcPr>
          <w:p>
            <w:pPr>
              <w:jc w:val="left"/>
            </w:pPr>
            <w:r>
              <w:rPr>
                <w:rFonts w:ascii="Calibri" w:hAnsi="Calibri"/>
                <w:sz w:val="19"/>
              </w:rPr>
              <w:t>PP9</w:t>
            </w:r>
          </w:p>
        </w:tc>
        <w:tc>
          <w:tcPr>
            <w:tcW w:type="dxa" w:w="2266"/>
          </w:tcPr>
          <w:p>
            <w:pPr>
              <w:jc w:val="center"/>
            </w:pPr>
            <w:r>
              <w:rPr>
                <w:rFonts w:ascii="Calibri" w:hAnsi="Calibri"/>
                <w:sz w:val="19"/>
              </w:rPr>
              <w:t>TDRW freezes defaulters correctly</w:t>
            </w:r>
          </w:p>
        </w:tc>
        <w:tc>
          <w:tcPr>
            <w:tcW w:type="dxa" w:w="2266"/>
          </w:tcPr>
          <w:p>
            <w:pPr>
              <w:jc w:val="center"/>
            </w:pPr>
            <w:r>
              <w:rPr>
                <w:rFonts w:ascii="Calibri" w:hAnsi="Calibri"/>
                <w:sz w:val="19"/>
              </w:rPr>
              <w:t>PROVEN</w:t>
            </w:r>
          </w:p>
        </w:tc>
        <w:tc>
          <w:tcPr>
            <w:tcW w:type="dxa" w:w="2266"/>
          </w:tcPr>
          <w:p>
            <w:pPr>
              <w:jc w:val="center"/>
            </w:pPr>
            <w:r>
              <w:rPr>
                <w:rFonts w:ascii="Calibri" w:hAnsi="Calibri"/>
                <w:sz w:val="19"/>
              </w:rPr>
              <w:t>Full default → 3.33yr freeze</w:t>
            </w:r>
          </w:p>
        </w:tc>
      </w:tr>
      <w:tr>
        <w:tc>
          <w:tcPr>
            <w:tcW w:type="dxa" w:w="2266"/>
            <w:shd w:val="clear" w:color="auto" w:fill="EEF3FA"/>
          </w:tcPr>
          <w:p>
            <w:pPr>
              <w:jc w:val="left"/>
            </w:pPr>
            <w:r>
              <w:rPr>
                <w:rFonts w:ascii="Calibri" w:hAnsi="Calibri"/>
                <w:sz w:val="19"/>
              </w:rPr>
              <w:t>PP10</w:t>
            </w:r>
          </w:p>
        </w:tc>
        <w:tc>
          <w:tcPr>
            <w:tcW w:type="dxa" w:w="2266"/>
            <w:shd w:val="clear" w:color="auto" w:fill="EEF3FA"/>
          </w:tcPr>
          <w:p>
            <w:pPr>
              <w:jc w:val="center"/>
            </w:pPr>
            <w:r>
              <w:rPr>
                <w:rFonts w:ascii="Calibri" w:hAnsi="Calibri"/>
                <w:sz w:val="19"/>
              </w:rPr>
              <w:t>TDRW never penalises threshold-meeters</w:t>
            </w:r>
          </w:p>
        </w:tc>
        <w:tc>
          <w:tcPr>
            <w:tcW w:type="dxa" w:w="2266"/>
            <w:shd w:val="clear" w:color="auto" w:fill="EEF3FA"/>
          </w:tcPr>
          <w:p>
            <w:pPr>
              <w:jc w:val="center"/>
            </w:pPr>
            <w:r>
              <w:rPr>
                <w:rFonts w:ascii="Calibri" w:hAnsi="Calibri"/>
                <w:sz w:val="19"/>
              </w:rPr>
              <w:t>PROVEN</w:t>
            </w:r>
          </w:p>
        </w:tc>
        <w:tc>
          <w:tcPr>
            <w:tcW w:type="dxa" w:w="2266"/>
            <w:shd w:val="clear" w:color="auto" w:fill="EEF3FA"/>
          </w:tcPr>
          <w:p>
            <w:pPr>
              <w:jc w:val="center"/>
            </w:pPr>
            <w:r>
              <w:rPr>
                <w:rFonts w:ascii="Calibri" w:hAnsi="Calibri"/>
                <w:sz w:val="19"/>
              </w:rPr>
              <w:t>30% repaid → 0yr freeze</w:t>
            </w:r>
          </w:p>
        </w:tc>
      </w:tr>
    </w:tbl>
    <w:p>
      <w:pPr>
        <w:spacing w:after="60"/>
      </w:pPr>
    </w:p>
    <w:p>
      <w:r>
        <w:br w:type="page"/>
      </w:r>
    </w:p>
    <w:p>
      <w:pPr>
        <w:spacing w:before="200" w:after="100"/>
        <w:jc w:val="left"/>
      </w:pPr>
      <w:r>
        <w:rPr>
          <w:rFonts w:ascii="Calibri" w:hAnsi="Calibri"/>
          <w:b/>
          <w:color w:val="1A375E"/>
          <w:sz w:val="36"/>
        </w:rPr>
        <w:t>6.  Implementation Pathway</w:t>
      </w:r>
    </w:p>
    <w:p>
      <w:pPr>
        <w:spacing w:before="80" w:after="80"/>
        <w:pBdr>
          <w:bottom w:val="single" w:sz="6" w:space="1" w:color="007A87"/>
        </w:pBdr>
      </w:pP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Phase</w:t>
            </w:r>
          </w:p>
        </w:tc>
        <w:tc>
          <w:tcPr>
            <w:tcW w:type="dxa" w:w="2266"/>
            <w:shd w:val="clear" w:color="auto" w:fill="1A375E"/>
          </w:tcPr>
          <w:p>
            <w:pPr>
              <w:jc w:val="center"/>
            </w:pPr>
            <w:r>
              <w:rPr>
                <w:rFonts w:ascii="Calibri" w:hAnsi="Calibri"/>
                <w:b/>
                <w:color w:val="FFFFFF"/>
                <w:sz w:val="19"/>
              </w:rPr>
              <w:t>Timeline</w:t>
            </w:r>
          </w:p>
        </w:tc>
        <w:tc>
          <w:tcPr>
            <w:tcW w:type="dxa" w:w="2266"/>
            <w:shd w:val="clear" w:color="auto" w:fill="1A375E"/>
          </w:tcPr>
          <w:p>
            <w:pPr>
              <w:jc w:val="center"/>
            </w:pPr>
            <w:r>
              <w:rPr>
                <w:rFonts w:ascii="Calibri" w:hAnsi="Calibri"/>
                <w:b/>
                <w:color w:val="FFFFFF"/>
                <w:sz w:val="19"/>
              </w:rPr>
              <w:t>Key Actions</w:t>
            </w:r>
          </w:p>
        </w:tc>
        <w:tc>
          <w:tcPr>
            <w:tcW w:type="dxa" w:w="2266"/>
            <w:shd w:val="clear" w:color="auto" w:fill="1A375E"/>
          </w:tcPr>
          <w:p>
            <w:pPr>
              <w:jc w:val="center"/>
            </w:pPr>
            <w:r>
              <w:rPr>
                <w:rFonts w:ascii="Calibri" w:hAnsi="Calibri"/>
                <w:b/>
                <w:color w:val="FFFFFF"/>
                <w:sz w:val="19"/>
              </w:rPr>
              <w:t>Cost</w:t>
            </w:r>
          </w:p>
        </w:tc>
      </w:tr>
      <w:tr>
        <w:tc>
          <w:tcPr>
            <w:tcW w:type="dxa" w:w="2266"/>
          </w:tcPr>
          <w:p>
            <w:pPr>
              <w:jc w:val="left"/>
            </w:pPr>
            <w:r>
              <w:rPr>
                <w:rFonts w:ascii="Calibri" w:hAnsi="Calibri"/>
                <w:sz w:val="19"/>
              </w:rPr>
              <w:t>Phase 0</w:t>
              <w:br/>
              <w:t>Framework</w:t>
            </w:r>
          </w:p>
        </w:tc>
        <w:tc>
          <w:tcPr>
            <w:tcW w:type="dxa" w:w="2266"/>
          </w:tcPr>
          <w:p>
            <w:pPr>
              <w:jc w:val="center"/>
            </w:pPr>
            <w:r>
              <w:rPr>
                <w:rFonts w:ascii="Calibri" w:hAnsi="Calibri"/>
                <w:sz w:val="19"/>
              </w:rPr>
              <w:t>Now</w:t>
            </w:r>
          </w:p>
        </w:tc>
        <w:tc>
          <w:tcPr>
            <w:tcW w:type="dxa" w:w="2266"/>
          </w:tcPr>
          <w:p>
            <w:pPr>
              <w:jc w:val="center"/>
            </w:pPr>
            <w:r>
              <w:rPr>
                <w:rFonts w:ascii="Calibri" w:hAnsi="Calibri"/>
                <w:sz w:val="19"/>
              </w:rPr>
              <w:t>Pass Automation Tax legislation at 5%</w:t>
              <w:br/>
              <w:t>Establish ring-fenced TB account</w:t>
              <w:br/>
              <w:t>Build digital TB registry</w:t>
            </w:r>
          </w:p>
        </w:tc>
        <w:tc>
          <w:tcPr>
            <w:tcW w:type="dxa" w:w="2266"/>
          </w:tcPr>
          <w:p>
            <w:pPr>
              <w:jc w:val="center"/>
            </w:pPr>
            <w:r>
              <w:rPr>
                <w:rFonts w:ascii="Calibri" w:hAnsi="Calibri"/>
                <w:sz w:val="19"/>
              </w:rPr>
              <w:t>Legal + IT (bounded)</w:t>
            </w:r>
          </w:p>
        </w:tc>
      </w:tr>
      <w:tr>
        <w:tc>
          <w:tcPr>
            <w:tcW w:type="dxa" w:w="2266"/>
            <w:shd w:val="clear" w:color="auto" w:fill="EEF3FA"/>
          </w:tcPr>
          <w:p>
            <w:pPr>
              <w:jc w:val="left"/>
            </w:pPr>
            <w:r>
              <w:rPr>
                <w:rFonts w:ascii="Calibri" w:hAnsi="Calibri"/>
                <w:sz w:val="19"/>
              </w:rPr>
              <w:t>Phase 1</w:t>
              <w:br/>
              <w:t>Pilot</w:t>
            </w:r>
          </w:p>
        </w:tc>
        <w:tc>
          <w:tcPr>
            <w:tcW w:type="dxa" w:w="2266"/>
            <w:shd w:val="clear" w:color="auto" w:fill="EEF3FA"/>
          </w:tcPr>
          <w:p>
            <w:pPr>
              <w:jc w:val="center"/>
            </w:pPr>
            <w:r>
              <w:rPr>
                <w:rFonts w:ascii="Calibri" w:hAnsi="Calibri"/>
                <w:sz w:val="19"/>
              </w:rPr>
              <w:t>Years 1–2</w:t>
            </w:r>
          </w:p>
        </w:tc>
        <w:tc>
          <w:tcPr>
            <w:tcW w:type="dxa" w:w="2266"/>
            <w:shd w:val="clear" w:color="auto" w:fill="EEF3FA"/>
          </w:tcPr>
          <w:p>
            <w:pPr>
              <w:jc w:val="center"/>
            </w:pPr>
            <w:r>
              <w:rPr>
                <w:rFonts w:ascii="Calibri" w:hAnsi="Calibri"/>
                <w:sz w:val="19"/>
              </w:rPr>
              <w:t>Launch pilot: 100,000 citizens</w:t>
              <w:br/>
              <w:t>Max advance 1,000 units</w:t>
              <w:br/>
              <w:t>Publish quarterly transparency reports</w:t>
            </w:r>
          </w:p>
        </w:tc>
        <w:tc>
          <w:tcPr>
            <w:tcW w:type="dxa" w:w="2266"/>
            <w:shd w:val="clear" w:color="auto" w:fill="EEF3FA"/>
          </w:tcPr>
          <w:p>
            <w:pPr>
              <w:jc w:val="center"/>
            </w:pPr>
            <w:r>
              <w:rPr>
                <w:rFonts w:ascii="Calibri" w:hAnsi="Calibri"/>
                <w:sz w:val="19"/>
              </w:rPr>
              <w:t>One-time seed capital only</w:t>
            </w:r>
          </w:p>
        </w:tc>
      </w:tr>
      <w:tr>
        <w:tc>
          <w:tcPr>
            <w:tcW w:type="dxa" w:w="2266"/>
          </w:tcPr>
          <w:p>
            <w:pPr>
              <w:jc w:val="left"/>
            </w:pPr>
            <w:r>
              <w:rPr>
                <w:rFonts w:ascii="Calibri" w:hAnsi="Calibri"/>
                <w:sz w:val="19"/>
              </w:rPr>
              <w:t>Phase 2</w:t>
              <w:br/>
              <w:t>Expansion</w:t>
            </w:r>
          </w:p>
        </w:tc>
        <w:tc>
          <w:tcPr>
            <w:tcW w:type="dxa" w:w="2266"/>
          </w:tcPr>
          <w:p>
            <w:pPr>
              <w:jc w:val="center"/>
            </w:pPr>
            <w:r>
              <w:rPr>
                <w:rFonts w:ascii="Calibri" w:hAnsi="Calibri"/>
                <w:sz w:val="19"/>
              </w:rPr>
              <w:t>Years 3–5</w:t>
            </w:r>
          </w:p>
        </w:tc>
        <w:tc>
          <w:tcPr>
            <w:tcW w:type="dxa" w:w="2266"/>
          </w:tcPr>
          <w:p>
            <w:pPr>
              <w:jc w:val="center"/>
            </w:pPr>
            <w:r>
              <w:rPr>
                <w:rFonts w:ascii="Calibri" w:hAnsi="Calibri"/>
                <w:sz w:val="19"/>
              </w:rPr>
              <w:t>Expand to full population</w:t>
              <w:br/>
              <w:t>Raise automation tax to 10%</w:t>
              <w:br/>
              <w:t>Increase advance max to 5,000 units</w:t>
            </w:r>
          </w:p>
        </w:tc>
        <w:tc>
          <w:tcPr>
            <w:tcW w:type="dxa" w:w="2266"/>
          </w:tcPr>
          <w:p>
            <w:pPr>
              <w:jc w:val="center"/>
            </w:pPr>
            <w:r>
              <w:rPr>
                <w:rFonts w:ascii="Calibri" w:hAnsi="Calibri"/>
                <w:sz w:val="19"/>
              </w:rPr>
              <w:t>Self-funded</w:t>
            </w:r>
          </w:p>
        </w:tc>
      </w:tr>
      <w:tr>
        <w:tc>
          <w:tcPr>
            <w:tcW w:type="dxa" w:w="2266"/>
            <w:shd w:val="clear" w:color="auto" w:fill="EEF3FA"/>
          </w:tcPr>
          <w:p>
            <w:pPr>
              <w:jc w:val="left"/>
            </w:pPr>
            <w:r>
              <w:rPr>
                <w:rFonts w:ascii="Calibri" w:hAnsi="Calibri"/>
                <w:sz w:val="19"/>
              </w:rPr>
              <w:t>Phase 3</w:t>
              <w:br/>
              <w:t>Full Scale</w:t>
            </w:r>
          </w:p>
        </w:tc>
        <w:tc>
          <w:tcPr>
            <w:tcW w:type="dxa" w:w="2266"/>
            <w:shd w:val="clear" w:color="auto" w:fill="EEF3FA"/>
          </w:tcPr>
          <w:p>
            <w:pPr>
              <w:jc w:val="center"/>
            </w:pPr>
            <w:r>
              <w:rPr>
                <w:rFonts w:ascii="Calibri" w:hAnsi="Calibri"/>
                <w:sz w:val="19"/>
              </w:rPr>
              <w:t>Year 5+</w:t>
            </w:r>
          </w:p>
        </w:tc>
        <w:tc>
          <w:tcPr>
            <w:tcW w:type="dxa" w:w="2266"/>
            <w:shd w:val="clear" w:color="auto" w:fill="EEF3FA"/>
          </w:tcPr>
          <w:p>
            <w:pPr>
              <w:jc w:val="center"/>
            </w:pPr>
            <w:r>
              <w:rPr>
                <w:rFonts w:ascii="Calibri" w:hAnsi="Calibri"/>
                <w:sz w:val="19"/>
              </w:rPr>
              <w:t>Automation tax at 15%</w:t>
              <w:br/>
              <w:t>Pool fully self-sustaining</w:t>
              <w:br/>
              <w:t>Begin OECD international TB framework discussions</w:t>
            </w:r>
          </w:p>
        </w:tc>
        <w:tc>
          <w:tcPr>
            <w:tcW w:type="dxa" w:w="2266"/>
            <w:shd w:val="clear" w:color="auto" w:fill="EEF3FA"/>
          </w:tcPr>
          <w:p>
            <w:pPr>
              <w:jc w:val="center"/>
            </w:pPr>
            <w:r>
              <w:rPr>
                <w:rFonts w:ascii="Calibri" w:hAnsi="Calibri"/>
                <w:sz w:val="19"/>
              </w:rPr>
              <w:t>Zero marginal cost</w:t>
            </w:r>
          </w:p>
        </w:tc>
      </w:tr>
    </w:tbl>
    <w:p>
      <w:pPr>
        <w:spacing w:after="60"/>
      </w:pPr>
    </w:p>
    <w:p>
      <w:pPr>
        <w:spacing w:before="200" w:after="100"/>
        <w:jc w:val="left"/>
      </w:pPr>
      <w:r>
        <w:rPr>
          <w:rFonts w:ascii="Calibri" w:hAnsi="Calibri"/>
          <w:b/>
          <w:color w:val="007A87"/>
          <w:sz w:val="28"/>
        </w:rPr>
        <w:t>6.1  Author's Note on AI-Assisted Development</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This framework was conceived, planned, and directed by Enis Murseli. AI tools (large language models) were used to accelerate three specific tasks: (1) searching and cross-referencing established economic equations and literature; (2) writing and executing Python simulation code to test the theoretical claims; (3) structuring and formatting this document. All theoretical decisions — which equations to use, which parameters to include, how the TB circuit should work, and what constitutes proof — were made by the author. The simulation code and all 293 unit tests are open for independent review.</w:t>
            </w:r>
          </w:p>
        </w:tc>
      </w:tr>
    </w:tbl>
    <w:p>
      <w:pPr>
        <w:spacing w:after="60"/>
      </w:pPr>
    </w:p>
    <w:p>
      <w:r>
        <w:br w:type="page"/>
      </w:r>
    </w:p>
    <w:p>
      <w:pPr>
        <w:spacing w:before="200" w:after="100"/>
        <w:jc w:val="left"/>
      </w:pPr>
      <w:r>
        <w:rPr>
          <w:rFonts w:ascii="Calibri" w:hAnsi="Calibri"/>
          <w:b/>
          <w:color w:val="1A375E"/>
          <w:sz w:val="36"/>
        </w:rPr>
        <w:t>7.  Conclusion</w:t>
      </w:r>
    </w:p>
    <w:p>
      <w:pPr>
        <w:spacing w:before="80" w:after="80"/>
        <w:pBdr>
          <w:bottom w:val="single" w:sz="6" w:space="1" w:color="007A87"/>
        </w:pBdr>
      </w:pPr>
    </w:p>
    <w:p>
      <w:pPr>
        <w:spacing w:after="120" w:before="0"/>
        <w:jc w:val="left"/>
      </w:pPr>
      <w:r>
        <w:rPr>
          <w:rFonts w:ascii="Calibri" w:hAnsi="Calibri"/>
          <w:b w:val="0"/>
          <w:i w:val="0"/>
          <w:sz w:val="21"/>
        </w:rPr>
        <w:t>The Time Borrowing Instrument is not a utopian idea. It is a mathematically grounded, operationally practical, and politically viable instrument that fits within existing economic frameworks. Its design reflects four principles:</w:t>
      </w:r>
    </w:p>
    <w:p>
      <w:pPr>
        <w:pStyle w:val="ListBullet"/>
        <w:spacing w:after="60" w:before="20"/>
        <w:ind w:left="454"/>
      </w:pPr>
      <w:r>
        <w:rPr>
          <w:rFonts w:ascii="Calibri" w:hAnsi="Calibri"/>
          <w:sz w:val="21"/>
        </w:rPr>
        <w:t>Zero friction — operates alongside, not instead of, current systems</w:t>
      </w:r>
    </w:p>
    <w:p>
      <w:pPr>
        <w:pStyle w:val="ListBullet"/>
        <w:spacing w:after="60" w:before="20"/>
        <w:ind w:left="454"/>
      </w:pPr>
      <w:r>
        <w:rPr>
          <w:rFonts w:ascii="Calibri" w:hAnsi="Calibri"/>
          <w:sz w:val="21"/>
        </w:rPr>
        <w:t>Productivity-backed — every unit advanced is backed by real automation output</w:t>
      </w:r>
    </w:p>
    <w:p>
      <w:pPr>
        <w:pStyle w:val="ListBullet"/>
        <w:spacing w:after="60" w:before="20"/>
        <w:ind w:left="454"/>
      </w:pPr>
      <w:r>
        <w:rPr>
          <w:rFonts w:ascii="Calibri" w:hAnsi="Calibri"/>
          <w:sz w:val="21"/>
        </w:rPr>
        <w:t>Self-balancing — the TDRW circuit ensures the pool cannot be systematically exploited</w:t>
      </w:r>
    </w:p>
    <w:p>
      <w:pPr>
        <w:pStyle w:val="ListBullet"/>
        <w:spacing w:after="60" w:before="20"/>
        <w:ind w:left="454"/>
      </w:pPr>
      <w:r>
        <w:rPr>
          <w:rFonts w:ascii="Calibri" w:hAnsi="Calibri"/>
          <w:sz w:val="21"/>
        </w:rPr>
        <w:t>Human-centred — treats citizens as capable agents, not passive welfare recipients</w:t>
      </w:r>
    </w:p>
    <w:p>
      <w:pPr>
        <w:spacing w:after="16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25 years from now, an economy with the Time Borrowing Instrument will be 59% larger, more equal, less inflationary, and more productive than one without it. The pool will have grown 20-fold from its own circuit — requiring no ongoing subsidy. This is not a cost. It is an investment with a mathematically verified positive return.</w:t>
            </w:r>
          </w:p>
        </w:tc>
      </w:tr>
    </w:tbl>
    <w:p>
      <w:pPr>
        <w:spacing w:after="60"/>
      </w:pPr>
    </w:p>
    <w:p>
      <w:pPr>
        <w:spacing w:after="240" w:before="0"/>
        <w:jc w:val="left"/>
      </w:pPr>
      <w:r>
        <w:rPr>
          <w:rFonts w:ascii="Calibri" w:hAnsi="Calibri"/>
          <w:b/>
          <w:i w:val="0"/>
          <w:sz w:val="21"/>
        </w:rPr>
        <w:t>The only question remaining is whether we have the political will to implement it.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