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066"/>
      </w:tblGrid>
      <w:tr>
        <w:tc>
          <w:tcPr>
            <w:tcW w:type="dxa" w:w="9066"/>
            <w:shd w:val="clear" w:color="auto" w:fill="1A375E"/>
          </w:tcPr>
          <w:p>
            <w:r>
              <w:t xml:space="preserve"> </w:t>
            </w:r>
          </w:p>
        </w:tc>
      </w:tr>
    </w:tbl>
    <w:p/>
    <w:p>
      <w:pPr>
        <w:spacing w:before="480" w:after="120"/>
        <w:jc w:val="center"/>
      </w:pPr>
      <w:r>
        <w:rPr>
          <w:rFonts w:ascii="Calibri" w:hAnsi="Calibri"/>
          <w:b/>
          <w:color w:val="1A375E"/>
          <w:sz w:val="56"/>
        </w:rPr>
        <w:t>Instrumenti i Huazimit të Kohës</w:t>
      </w:r>
    </w:p>
    <w:p>
      <w:pPr>
        <w:spacing w:after="80"/>
        <w:jc w:val="center"/>
      </w:pPr>
      <w:r>
        <w:rPr>
          <w:rFonts w:ascii="Calibri" w:hAnsi="Calibri"/>
          <w:b/>
          <w:color w:val="007A87"/>
          <w:sz w:val="28"/>
        </w:rPr>
        <w:t>Një instrument ekonomik suveren për potencialin njerëzor në epokën e automatizimit</w:t>
      </w:r>
    </w:p>
    <w:p/>
    <w:tbl>
      <w:tblPr>
        <w:tblW w:type="auto" w:w="0"/>
        <w:tblLook w:firstColumn="1" w:firstRow="1" w:lastColumn="0" w:lastRow="0" w:noHBand="0" w:noVBand="1" w:val="04A0"/>
      </w:tblPr>
      <w:tblGrid>
        <w:gridCol w:w="9066"/>
      </w:tblGrid>
      <w:tr>
        <w:tc>
          <w:tcPr>
            <w:tcW w:type="dxa" w:w="9066"/>
            <w:shd w:val="clear" w:color="auto" w:fill="E8F4F7"/>
          </w:tcPr>
          <w:p>
            <w:pPr>
              <w:spacing w:before="120" w:after="120"/>
              <w:ind w:left="170"/>
            </w:pPr>
            <w:r>
              <w:rPr>
                <w:rFonts w:ascii="Calibri" w:hAnsi="Calibri"/>
                <w:i/>
                <w:color w:val="1A375E"/>
                <w:sz w:val="21"/>
              </w:rPr>
              <w:t>"Po sikur inteligjenca artificiale, në vend që të zëvendësojë potencialin njerëzor, të bëhej motori që e financon atë?"</w:t>
            </w:r>
          </w:p>
        </w:tc>
      </w:tr>
    </w:tbl>
    <w:p>
      <w:pPr>
        <w:spacing w:after="80"/>
      </w:pPr>
    </w:p>
    <w:p/>
    <w:p>
      <w:pPr>
        <w:spacing w:before="400"/>
        <w:jc w:val="center"/>
      </w:pPr>
      <w:r>
        <w:rPr>
          <w:rFonts w:ascii="Calibri" w:hAnsi="Calibri"/>
          <w:color w:val="556677"/>
          <w:sz w:val="20"/>
        </w:rPr>
        <w:t>A Policy Proposal for Government Consideration</w:t>
        <w:br/>
      </w:r>
      <w:r>
        <w:rPr>
          <w:rFonts w:ascii="Calibri" w:hAnsi="Calibri"/>
          <w:color w:val="556677"/>
          <w:sz w:val="20"/>
        </w:rPr>
        <w:t>May 2026</w:t>
        <w:br/>
      </w:r>
      <w:r>
        <w:rPr>
          <w:rFonts w:ascii="Calibri" w:hAnsi="Calibri"/>
          <w:color w:val="556677"/>
          <w:sz w:val="20"/>
        </w:rPr>
        <w:br/>
      </w:r>
      <w:r>
        <w:rPr>
          <w:rFonts w:ascii="Calibri" w:hAnsi="Calibri"/>
          <w:color w:val="556677"/>
          <w:sz w:val="20"/>
        </w:rPr>
        <w:t>Supported by agent-based economic simulation</w:t>
        <w:br/>
      </w:r>
      <w:r>
        <w:rPr>
          <w:rFonts w:ascii="Calibri" w:hAnsi="Calibri"/>
          <w:color w:val="556677"/>
          <w:sz w:val="20"/>
        </w:rPr>
        <w:t>293 independently verified equations and tests</w:t>
        <w:br/>
      </w:r>
      <w:r>
        <w:rPr>
          <w:rFonts w:ascii="Calibri" w:hAnsi="Calibri"/>
          <w:color w:val="556677"/>
          <w:sz w:val="20"/>
        </w:rPr>
        <w:t>10 / 10 proof points confirmed</w:t>
        <w:br/>
      </w:r>
    </w:p>
    <w:p>
      <w:r>
        <w:br w:type="page"/>
      </w:r>
    </w:p>
    <w:p>
      <w:pPr>
        <w:spacing w:before="240" w:after="120"/>
        <w:jc w:val="left"/>
      </w:pPr>
      <w:r>
        <w:rPr>
          <w:rFonts w:ascii="Calibri" w:hAnsi="Calibri"/>
          <w:b/>
          <w:color w:val="1A375E"/>
          <w:sz w:val="36"/>
        </w:rPr>
        <w:t>Përmbledhje ekzekutive</w:t>
      </w:r>
    </w:p>
    <w:p>
      <w:pPr>
        <w:spacing w:before="80" w:after="80"/>
        <w:pBdr>
          <w:bottom w:val="single" w:sz="6" w:space="1" w:color="007A87"/>
        </w:pBdr>
      </w:pPr>
    </w:p>
    <w:p>
      <w:pPr>
        <w:spacing w:after="120" w:before="0"/>
      </w:pPr>
      <w:r>
        <w:rPr>
          <w:rFonts w:ascii="Calibri" w:hAnsi="Calibri"/>
          <w:b w:val="0"/>
          <w:i w:val="0"/>
          <w:sz w:val="21"/>
        </w:rPr>
        <w:t>Instrumenti i Huazimit të Kohës (TBI) është instrument ekonomik i ri, shtesë, që shndërron tepricën e produktivitetit nga inteligjenca artificiale dhe automatizimi në avanc kapitali të drejtpërdrejtë, të ripagueshëm për çdo qytetar. Nuk kërkon ndryshime në sistemet ekzistuese bankare, mirëqenieje apo politike monetare.</w:t>
      </w:r>
    </w:p>
    <w:p>
      <w:pPr>
        <w:spacing w:after="120" w:before="0"/>
      </w:pPr>
      <w:r>
        <w:rPr>
          <w:rFonts w:ascii="Calibri" w:hAnsi="Calibri"/>
          <w:b w:val="0"/>
          <w:i w:val="0"/>
          <w:sz w:val="21"/>
        </w:rPr>
        <w:t>Në vend që të shtypë para të reja ose të rrisë taksat, TBI-i izolon një taksë të dedikuar mbi prodhimin e AI dhe automatizimit — Taksa e Automatizimit dhe AI — dhe e drejton në një fond likuiditeti suveren. Qytetarët huazojnë kundrejt kohës dhe kontributit të ardhshëm, marrin avancin për të investuar në arsim, sipërmarrje ose periudha vështirësie, dhe ripagojnë në një dritare të strukturuar. Nëse ripagimi bie nën 30%, një periudhë ngrirjeje e llogaritur parandalon abuzimin sistemik — duke krijuar një qark matematik vetëbalancues.</w:t>
      </w:r>
    </w:p>
    <w:tbl>
      <w:tblPr>
        <w:tblW w:type="auto" w:w="0"/>
        <w:tblLook w:firstColumn="1" w:firstRow="1" w:lastColumn="0" w:lastRow="0" w:noHBand="0" w:noVBand="1" w:val="04A0"/>
      </w:tblPr>
      <w:tblGrid>
        <w:gridCol w:w="9066"/>
      </w:tblGrid>
      <w:tr>
        <w:tc>
          <w:tcPr>
            <w:tcW w:type="dxa" w:w="9066"/>
            <w:shd w:val="clear" w:color="auto" w:fill="E8F4F7"/>
          </w:tcPr>
          <w:p>
            <w:pPr>
              <w:spacing w:before="120" w:after="120"/>
              <w:ind w:left="170"/>
            </w:pPr>
            <w:r>
              <w:rPr>
                <w:rFonts w:ascii="Calibri" w:hAnsi="Calibri"/>
                <w:i/>
                <w:color w:val="1A375E"/>
                <w:sz w:val="21"/>
              </w:rPr>
              <w:t>Rezultati i simulimit (ekonomi 50 persona, horizont 25 vjet): Me TBI-në aktiv, PBB u rrit 59% më shumë se baza. Inflacioni ishte MË I ULËT nën TB (0,53%/vit kundrejt 1,02%/vit). Pabarazia (Gini) ra nga 0,350 në 0,323. Fondi TB u rrit 20× — nga 132 në 2.809 njësi. Të gjitha 10 pikat e provës u konfirmuan.</w:t>
            </w:r>
          </w:p>
        </w:tc>
      </w:tr>
    </w:tbl>
    <w:p>
      <w:pPr>
        <w:spacing w:after="80"/>
      </w:pPr>
    </w:p>
    <w:p>
      <w:pPr>
        <w:spacing w:before="240" w:after="120"/>
        <w:jc w:val="left"/>
      </w:pPr>
      <w:r>
        <w:rPr>
          <w:rFonts w:ascii="Calibri" w:hAnsi="Calibri"/>
          <w:b/>
          <w:color w:val="007A87"/>
          <w:sz w:val="24"/>
        </w:rPr>
        <w:t>Gjetjet kryesore me një vështrim</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color="auto" w:fill="1A375E"/>
          </w:tcPr>
          <w:p>
            <w:pPr>
              <w:jc w:val="center"/>
            </w:pPr>
            <w:r>
              <w:rPr>
                <w:rFonts w:ascii="Calibri" w:hAnsi="Calibri"/>
                <w:b/>
                <w:color w:val="FFFFFF"/>
                <w:sz w:val="19"/>
              </w:rPr>
              <w:t>Treguesi</w:t>
            </w:r>
          </w:p>
        </w:tc>
        <w:tc>
          <w:tcPr>
            <w:tcW w:type="dxa" w:w="2266"/>
            <w:shd w:val="clear" w:color="auto" w:fill="1A375E"/>
          </w:tcPr>
          <w:p>
            <w:pPr>
              <w:jc w:val="center"/>
            </w:pPr>
            <w:r>
              <w:rPr>
                <w:rFonts w:ascii="Calibri" w:hAnsi="Calibri"/>
                <w:b/>
                <w:color w:val="FFFFFF"/>
                <w:sz w:val="19"/>
              </w:rPr>
              <w:t>Ekonomia bazë</w:t>
            </w:r>
          </w:p>
        </w:tc>
        <w:tc>
          <w:tcPr>
            <w:tcW w:type="dxa" w:w="2266"/>
            <w:shd w:val="clear" w:color="auto" w:fill="1A375E"/>
          </w:tcPr>
          <w:p>
            <w:pPr>
              <w:jc w:val="center"/>
            </w:pPr>
            <w:r>
              <w:rPr>
                <w:rFonts w:ascii="Calibri" w:hAnsi="Calibri"/>
                <w:b/>
                <w:color w:val="FFFFFF"/>
                <w:sz w:val="19"/>
              </w:rPr>
              <w:t>Me Huazimin e Kohës</w:t>
            </w:r>
          </w:p>
        </w:tc>
        <w:tc>
          <w:tcPr>
            <w:tcW w:type="dxa" w:w="2266"/>
            <w:shd w:val="clear" w:color="auto" w:fill="1A375E"/>
          </w:tcPr>
          <w:p>
            <w:pPr>
              <w:jc w:val="center"/>
            </w:pPr>
            <w:r>
              <w:rPr>
                <w:rFonts w:ascii="Calibri" w:hAnsi="Calibri"/>
                <w:b/>
                <w:color w:val="FFFFFF"/>
                <w:sz w:val="19"/>
              </w:rPr>
              <w:t>Ndryshimi</w:t>
            </w:r>
          </w:p>
        </w:tc>
      </w:tr>
      <w:tr>
        <w:tc>
          <w:tcPr>
            <w:tcW w:type="dxa" w:w="2266"/>
          </w:tcPr>
          <w:p>
            <w:pPr>
              <w:jc w:val="left"/>
            </w:pPr>
            <w:r>
              <w:rPr>
                <w:rFonts w:ascii="Calibri" w:hAnsi="Calibri"/>
                <w:sz w:val="19"/>
              </w:rPr>
              <w:t>PBB pas 25 vjetëve</w:t>
            </w:r>
          </w:p>
        </w:tc>
        <w:tc>
          <w:tcPr>
            <w:tcW w:type="dxa" w:w="2266"/>
          </w:tcPr>
          <w:p>
            <w:pPr>
              <w:jc w:val="center"/>
            </w:pPr>
            <w:r>
              <w:rPr>
                <w:rFonts w:ascii="Calibri" w:hAnsi="Calibri"/>
                <w:sz w:val="19"/>
              </w:rPr>
              <w:t>12.906 njësi</w:t>
            </w:r>
          </w:p>
        </w:tc>
        <w:tc>
          <w:tcPr>
            <w:tcW w:type="dxa" w:w="2266"/>
          </w:tcPr>
          <w:p>
            <w:pPr>
              <w:jc w:val="center"/>
            </w:pPr>
            <w:r>
              <w:rPr>
                <w:rFonts w:ascii="Calibri" w:hAnsi="Calibri"/>
                <w:sz w:val="19"/>
              </w:rPr>
              <w:t>20.521 njësi</w:t>
            </w:r>
          </w:p>
        </w:tc>
        <w:tc>
          <w:tcPr>
            <w:tcW w:type="dxa" w:w="2266"/>
          </w:tcPr>
          <w:p>
            <w:pPr>
              <w:jc w:val="center"/>
            </w:pPr>
            <w:r>
              <w:rPr>
                <w:rFonts w:ascii="Calibri" w:hAnsi="Calibri"/>
                <w:sz w:val="19"/>
              </w:rPr>
              <w:t>+59.0%</w:t>
            </w:r>
          </w:p>
        </w:tc>
      </w:tr>
      <w:tr>
        <w:tc>
          <w:tcPr>
            <w:tcW w:type="dxa" w:w="2266"/>
            <w:shd w:val="clear" w:color="auto" w:fill="EEF3FA"/>
          </w:tcPr>
          <w:p>
            <w:pPr>
              <w:jc w:val="left"/>
            </w:pPr>
            <w:r>
              <w:rPr>
                <w:rFonts w:ascii="Calibri" w:hAnsi="Calibri"/>
                <w:sz w:val="19"/>
              </w:rPr>
              <w:t>Rritja vjetore e PBB-së (CAGR)</w:t>
            </w:r>
          </w:p>
        </w:tc>
        <w:tc>
          <w:tcPr>
            <w:tcW w:type="dxa" w:w="2266"/>
            <w:shd w:val="clear" w:color="auto" w:fill="EEF3FA"/>
          </w:tcPr>
          <w:p>
            <w:pPr>
              <w:jc w:val="center"/>
            </w:pPr>
            <w:r>
              <w:rPr>
                <w:rFonts w:ascii="Calibri" w:hAnsi="Calibri"/>
                <w:sz w:val="19"/>
              </w:rPr>
              <w:t>3,87%/vit</w:t>
            </w:r>
          </w:p>
        </w:tc>
        <w:tc>
          <w:tcPr>
            <w:tcW w:type="dxa" w:w="2266"/>
            <w:shd w:val="clear" w:color="auto" w:fill="EEF3FA"/>
          </w:tcPr>
          <w:p>
            <w:pPr>
              <w:jc w:val="center"/>
            </w:pPr>
            <w:r>
              <w:rPr>
                <w:rFonts w:ascii="Calibri" w:hAnsi="Calibri"/>
                <w:sz w:val="19"/>
              </w:rPr>
              <w:t>5,86%/vit</w:t>
            </w:r>
          </w:p>
        </w:tc>
        <w:tc>
          <w:tcPr>
            <w:tcW w:type="dxa" w:w="2266"/>
            <w:shd w:val="clear" w:color="auto" w:fill="EEF3FA"/>
          </w:tcPr>
          <w:p>
            <w:pPr>
              <w:jc w:val="center"/>
            </w:pPr>
            <w:r>
              <w:rPr>
                <w:rFonts w:ascii="Calibri" w:hAnsi="Calibri"/>
                <w:sz w:val="19"/>
              </w:rPr>
              <w:t>+1,99pp</w:t>
            </w:r>
          </w:p>
        </w:tc>
      </w:tr>
      <w:tr>
        <w:tc>
          <w:tcPr>
            <w:tcW w:type="dxa" w:w="2266"/>
          </w:tcPr>
          <w:p>
            <w:pPr>
              <w:jc w:val="left"/>
            </w:pPr>
            <w:r>
              <w:rPr>
                <w:rFonts w:ascii="Calibri" w:hAnsi="Calibri"/>
                <w:sz w:val="19"/>
              </w:rPr>
              <w:t>Inflacioni mesatar</w:t>
            </w:r>
          </w:p>
        </w:tc>
        <w:tc>
          <w:tcPr>
            <w:tcW w:type="dxa" w:w="2266"/>
          </w:tcPr>
          <w:p>
            <w:pPr>
              <w:jc w:val="center"/>
            </w:pPr>
            <w:r>
              <w:rPr>
                <w:rFonts w:ascii="Calibri" w:hAnsi="Calibri"/>
                <w:sz w:val="19"/>
              </w:rPr>
              <w:t>1,02%/vit</w:t>
            </w:r>
          </w:p>
        </w:tc>
        <w:tc>
          <w:tcPr>
            <w:tcW w:type="dxa" w:w="2266"/>
          </w:tcPr>
          <w:p>
            <w:pPr>
              <w:jc w:val="center"/>
            </w:pPr>
            <w:r>
              <w:rPr>
                <w:rFonts w:ascii="Calibri" w:hAnsi="Calibri"/>
                <w:sz w:val="19"/>
              </w:rPr>
              <w:t>0,53%/vit</w:t>
            </w:r>
          </w:p>
        </w:tc>
        <w:tc>
          <w:tcPr>
            <w:tcW w:type="dxa" w:w="2266"/>
          </w:tcPr>
          <w:p>
            <w:pPr>
              <w:jc w:val="center"/>
            </w:pPr>
            <w:r>
              <w:rPr>
                <w:rFonts w:ascii="Calibri" w:hAnsi="Calibri"/>
                <w:sz w:val="19"/>
              </w:rPr>
              <w:t>-0,50pp (MË I ULËT)</w:t>
            </w:r>
          </w:p>
        </w:tc>
      </w:tr>
      <w:tr>
        <w:tc>
          <w:tcPr>
            <w:tcW w:type="dxa" w:w="2266"/>
            <w:shd w:val="clear" w:color="auto" w:fill="EEF3FA"/>
          </w:tcPr>
          <w:p>
            <w:pPr>
              <w:jc w:val="left"/>
            </w:pPr>
            <w:r>
              <w:rPr>
                <w:rFonts w:ascii="Calibri" w:hAnsi="Calibri"/>
                <w:sz w:val="19"/>
              </w:rPr>
              <w:t>Pabarazia (Gini)</w:t>
            </w:r>
          </w:p>
        </w:tc>
        <w:tc>
          <w:tcPr>
            <w:tcW w:type="dxa" w:w="2266"/>
            <w:shd w:val="clear" w:color="auto" w:fill="EEF3FA"/>
          </w:tcPr>
          <w:p>
            <w:pPr>
              <w:jc w:val="center"/>
            </w:pPr>
            <w:r>
              <w:rPr>
                <w:rFonts w:ascii="Calibri" w:hAnsi="Calibri"/>
                <w:sz w:val="19"/>
              </w:rPr>
              <w:t>0.358</w:t>
            </w:r>
          </w:p>
        </w:tc>
        <w:tc>
          <w:tcPr>
            <w:tcW w:type="dxa" w:w="2266"/>
            <w:shd w:val="clear" w:color="auto" w:fill="EEF3FA"/>
          </w:tcPr>
          <w:p>
            <w:pPr>
              <w:jc w:val="center"/>
            </w:pPr>
            <w:r>
              <w:rPr>
                <w:rFonts w:ascii="Calibri" w:hAnsi="Calibri"/>
                <w:sz w:val="19"/>
              </w:rPr>
              <w:t>0.323</w:t>
            </w:r>
          </w:p>
        </w:tc>
        <w:tc>
          <w:tcPr>
            <w:tcW w:type="dxa" w:w="2266"/>
            <w:shd w:val="clear" w:color="auto" w:fill="EEF3FA"/>
          </w:tcPr>
          <w:p>
            <w:pPr>
              <w:jc w:val="center"/>
            </w:pPr>
            <w:r>
              <w:rPr>
                <w:rFonts w:ascii="Calibri" w:hAnsi="Calibri"/>
                <w:sz w:val="19"/>
              </w:rPr>
              <w:t>-9,8% (MË E BARABARTË)</w:t>
            </w:r>
          </w:p>
        </w:tc>
      </w:tr>
      <w:tr>
        <w:tc>
          <w:tcPr>
            <w:tcW w:type="dxa" w:w="2266"/>
          </w:tcPr>
          <w:p>
            <w:pPr>
              <w:jc w:val="left"/>
            </w:pPr>
            <w:r>
              <w:rPr>
                <w:rFonts w:ascii="Calibri" w:hAnsi="Calibri"/>
                <w:sz w:val="19"/>
              </w:rPr>
              <w:t>Produktiviteti i punëtorit</w:t>
            </w:r>
          </w:p>
        </w:tc>
        <w:tc>
          <w:tcPr>
            <w:tcW w:type="dxa" w:w="2266"/>
          </w:tcPr>
          <w:p>
            <w:pPr>
              <w:jc w:val="center"/>
            </w:pPr>
            <w:r>
              <w:rPr>
                <w:rFonts w:ascii="Calibri" w:hAnsi="Calibri"/>
                <w:sz w:val="19"/>
              </w:rPr>
              <w:t>327.7</w:t>
            </w:r>
          </w:p>
        </w:tc>
        <w:tc>
          <w:tcPr>
            <w:tcW w:type="dxa" w:w="2266"/>
          </w:tcPr>
          <w:p>
            <w:pPr>
              <w:jc w:val="center"/>
            </w:pPr>
            <w:r>
              <w:rPr>
                <w:rFonts w:ascii="Calibri" w:hAnsi="Calibri"/>
                <w:sz w:val="19"/>
              </w:rPr>
              <w:t>492.3</w:t>
            </w:r>
          </w:p>
        </w:tc>
        <w:tc>
          <w:tcPr>
            <w:tcW w:type="dxa" w:w="2266"/>
          </w:tcPr>
          <w:p>
            <w:pPr>
              <w:jc w:val="center"/>
            </w:pPr>
            <w:r>
              <w:rPr>
                <w:rFonts w:ascii="Calibri" w:hAnsi="Calibri"/>
                <w:sz w:val="19"/>
              </w:rPr>
              <w:t>+50.2%</w:t>
            </w:r>
          </w:p>
        </w:tc>
      </w:tr>
      <w:tr>
        <w:tc>
          <w:tcPr>
            <w:tcW w:type="dxa" w:w="2266"/>
            <w:shd w:val="clear" w:color="auto" w:fill="EEF3FA"/>
          </w:tcPr>
          <w:p>
            <w:pPr>
              <w:jc w:val="left"/>
            </w:pPr>
            <w:r>
              <w:rPr>
                <w:rFonts w:ascii="Calibri" w:hAnsi="Calibri"/>
                <w:sz w:val="19"/>
              </w:rPr>
              <w:t>Qëndrueshmëria e fondit TB</w:t>
            </w:r>
          </w:p>
        </w:tc>
        <w:tc>
          <w:tcPr>
            <w:tcW w:type="dxa" w:w="2266"/>
            <w:shd w:val="clear" w:color="auto" w:fill="EEF3FA"/>
          </w:tcPr>
          <w:p>
            <w:pPr>
              <w:jc w:val="center"/>
            </w:pPr>
            <w:r>
              <w:rPr>
                <w:rFonts w:ascii="Calibri" w:hAnsi="Calibri"/>
                <w:sz w:val="19"/>
              </w:rPr>
              <w:t>N/A</w:t>
            </w:r>
          </w:p>
        </w:tc>
        <w:tc>
          <w:tcPr>
            <w:tcW w:type="dxa" w:w="2266"/>
            <w:shd w:val="clear" w:color="auto" w:fill="EEF3FA"/>
          </w:tcPr>
          <w:p>
            <w:pPr>
              <w:jc w:val="center"/>
            </w:pPr>
            <w:r>
              <w:rPr>
                <w:rFonts w:ascii="Calibri" w:hAnsi="Calibri"/>
                <w:sz w:val="19"/>
              </w:rPr>
              <w:t>132 → 2,809</w:t>
            </w:r>
          </w:p>
        </w:tc>
        <w:tc>
          <w:tcPr>
            <w:tcW w:type="dxa" w:w="2266"/>
            <w:shd w:val="clear" w:color="auto" w:fill="EEF3FA"/>
          </w:tcPr>
          <w:p>
            <w:pPr>
              <w:jc w:val="center"/>
            </w:pPr>
            <w:r>
              <w:rPr>
                <w:rFonts w:ascii="Calibri" w:hAnsi="Calibri"/>
                <w:sz w:val="19"/>
              </w:rPr>
              <w:t>+2.020% (vetërritje)</w:t>
            </w:r>
          </w:p>
        </w:tc>
      </w:tr>
      <w:tr>
        <w:tc>
          <w:tcPr>
            <w:tcW w:type="dxa" w:w="2266"/>
          </w:tcPr>
          <w:p>
            <w:pPr>
              <w:jc w:val="left"/>
            </w:pPr>
            <w:r>
              <w:rPr>
                <w:rFonts w:ascii="Calibri" w:hAnsi="Calibri"/>
                <w:sz w:val="19"/>
              </w:rPr>
              <w:t>Mbijeton goditjet klimatike</w:t>
            </w:r>
          </w:p>
        </w:tc>
        <w:tc>
          <w:tcPr>
            <w:tcW w:type="dxa" w:w="2266"/>
          </w:tcPr>
          <w:p>
            <w:pPr>
              <w:jc w:val="center"/>
            </w:pPr>
            <w:r>
              <w:rPr>
                <w:rFonts w:ascii="Calibri" w:hAnsi="Calibri"/>
                <w:sz w:val="19"/>
              </w:rPr>
              <w:t>N/A</w:t>
            </w:r>
          </w:p>
        </w:tc>
        <w:tc>
          <w:tcPr>
            <w:tcW w:type="dxa" w:w="2266"/>
          </w:tcPr>
          <w:p>
            <w:pPr>
              <w:jc w:val="center"/>
            </w:pPr>
            <w:r>
              <w:rPr>
                <w:rFonts w:ascii="Calibri" w:hAnsi="Calibri"/>
                <w:sz w:val="19"/>
              </w:rPr>
              <w:t>PO</w:t>
            </w:r>
          </w:p>
        </w:tc>
        <w:tc>
          <w:tcPr>
            <w:tcW w:type="dxa" w:w="2266"/>
          </w:tcPr>
          <w:p>
            <w:pPr>
              <w:jc w:val="center"/>
            </w:pPr>
            <w:r>
              <w:rPr>
                <w:rFonts w:ascii="Calibri" w:hAnsi="Calibri"/>
                <w:sz w:val="19"/>
              </w:rPr>
              <w:t>Fondi i paprekur</w:t>
            </w:r>
          </w:p>
        </w:tc>
      </w:tr>
    </w:tbl>
    <w:p>
      <w:pPr>
        <w:spacing w:after="80"/>
      </w:pPr>
    </w:p>
    <w:p>
      <w:r>
        <w:br w:type="page"/>
      </w:r>
    </w:p>
    <w:p>
      <w:pPr>
        <w:spacing w:before="240" w:after="120"/>
        <w:jc w:val="left"/>
      </w:pPr>
      <w:r>
        <w:rPr>
          <w:rFonts w:ascii="Calibri" w:hAnsi="Calibri"/>
          <w:b/>
          <w:color w:val="1A375E"/>
          <w:sz w:val="36"/>
        </w:rPr>
        <w:t>1. Problemi që po zgjidhim</w:t>
      </w:r>
    </w:p>
    <w:p>
      <w:pPr>
        <w:spacing w:before="80" w:after="80"/>
        <w:pBdr>
          <w:bottom w:val="single" w:sz="6" w:space="1" w:color="007A87"/>
        </w:pBdr>
      </w:pPr>
    </w:p>
    <w:p>
      <w:pPr>
        <w:spacing w:after="160" w:before="0"/>
      </w:pPr>
      <w:r>
        <w:rPr>
          <w:rFonts w:ascii="Calibri" w:hAnsi="Calibri"/>
          <w:b w:val="0"/>
          <w:i w:val="0"/>
          <w:sz w:val="21"/>
        </w:rPr>
        <w:t>Tre forca njëkohësisht po konvergojnë për të krijuar krizë ekonomike strukturore që mjetet ekzistuese nuk janë projektuar t'i zgjidhin:</w:t>
      </w:r>
    </w:p>
    <w:p>
      <w:pPr>
        <w:spacing w:before="240" w:after="120"/>
        <w:jc w:val="left"/>
      </w:pPr>
      <w:r>
        <w:rPr>
          <w:rFonts w:ascii="Calibri" w:hAnsi="Calibri"/>
          <w:b/>
          <w:color w:val="007A87"/>
          <w:sz w:val="28"/>
        </w:rPr>
        <w:t>1.1 Hendeku i zhvendosjes nga automatizimi</w:t>
      </w:r>
    </w:p>
    <w:p>
      <w:pPr>
        <w:spacing w:after="80" w:before="0"/>
      </w:pPr>
      <w:r>
        <w:rPr>
          <w:rFonts w:ascii="Calibri" w:hAnsi="Calibri"/>
          <w:b w:val="0"/>
          <w:i w:val="0"/>
          <w:sz w:val="21"/>
        </w:rPr>
        <w:t>Inteligjenca artificiale dhe robotika po eliminojnë punët e rutinës me ritëm në përshpejtim. OECD vlerëson që 14% e punëve janë shumë të automatizueshme dhe 32% shtesë përballen me ndryshim të rëndësishëm. Kjo krijon hendek strukturor midis pasurisë që gjenerojnë makinat dhe individëve që zëvendësojnë.</w:t>
      </w:r>
    </w:p>
    <w:p>
      <w:pPr>
        <w:spacing w:before="240" w:after="120"/>
        <w:jc w:val="left"/>
      </w:pPr>
      <w:r>
        <w:rPr>
          <w:rFonts w:ascii="Calibri" w:hAnsi="Calibri"/>
          <w:b/>
          <w:color w:val="007A87"/>
          <w:sz w:val="28"/>
        </w:rPr>
        <w:t>1.2 Deficiti i financimit të kapitalit njerëzor</w:t>
      </w:r>
    </w:p>
    <w:p>
      <w:pPr>
        <w:spacing w:after="80" w:before="0"/>
      </w:pPr>
      <w:r>
        <w:rPr>
          <w:rFonts w:ascii="Calibri" w:hAnsi="Calibri"/>
          <w:b w:val="0"/>
          <w:i w:val="0"/>
          <w:sz w:val="21"/>
        </w:rPr>
        <w:t>Ri-trajnim, arsim i lartë dhe sipërmarrja kërkojnë kapital fillestar. Qytetarët më në nevojë — të papunët, të rinjtë NEET dhe ata në industri në rënie — janë pikërisht ata që nuk mund të kenë qasje në kredi tradicionale. Kreditë bankare kërkojnë kolateral që nuk kanë. Grantet janë të kufizuara dhe të shpërndara politikisht. Mirëqeniaja krijon varësi pa ndërtuar kapacitet.</w:t>
      </w:r>
    </w:p>
    <w:p>
      <w:pPr>
        <w:spacing w:before="240" w:after="120"/>
        <w:jc w:val="left"/>
      </w:pPr>
      <w:r>
        <w:rPr>
          <w:rFonts w:ascii="Calibri" w:hAnsi="Calibri"/>
          <w:b/>
          <w:color w:val="007A87"/>
          <w:sz w:val="28"/>
        </w:rPr>
        <w:t>1.3 Kurthi inflacion–mirëqenie</w:t>
      </w:r>
    </w:p>
    <w:p>
      <w:pPr>
        <w:spacing w:after="80" w:before="0"/>
      </w:pPr>
      <w:r>
        <w:rPr>
          <w:rFonts w:ascii="Calibri" w:hAnsi="Calibri"/>
          <w:b w:val="0"/>
          <w:i w:val="0"/>
          <w:sz w:val="21"/>
        </w:rPr>
        <w:t>Propozimet e të Ardhurave Bazë Universale (UBI) adresojnë zhvendosjen por financohen nga krijimi parash fiat ose rritje të gjera tatimore — të dyja me rrezik inflacioni dhe rezistencë politike. Sa më shumë shpenzojnë qeveritë për mirëqenien, aq më shumë rriten deficitetet dhe mbetet më pak hapësirë fiskale për investim.</w:t>
      </w:r>
    </w:p>
    <w:tbl>
      <w:tblPr>
        <w:tblW w:type="auto" w:w="0"/>
        <w:tblLook w:firstColumn="1" w:firstRow="1" w:lastColumn="0" w:lastRow="0" w:noHBand="0" w:noVBand="1" w:val="04A0"/>
      </w:tblPr>
      <w:tblGrid>
        <w:gridCol w:w="9066"/>
      </w:tblGrid>
      <w:tr>
        <w:tc>
          <w:tcPr>
            <w:tcW w:type="dxa" w:w="9066"/>
            <w:shd w:val="clear" w:color="auto" w:fill="E8F4F7"/>
          </w:tcPr>
          <w:p>
            <w:pPr>
              <w:spacing w:before="120" w:after="120"/>
              <w:ind w:left="170"/>
            </w:pPr>
            <w:r>
              <w:rPr>
                <w:rFonts w:ascii="Calibri" w:hAnsi="Calibri"/>
                <w:i/>
                <w:color w:val="1A375E"/>
                <w:sz w:val="21"/>
              </w:rPr>
              <w:t>Pyetja nuk është nëse mund të përballojmë financimin e potencialit njerëzor. Pyetja është nëse NUK mundemi — dhe nëse mund ta bëjmë pa krijuar kurthët e inflacionit dhe varësisë së së kaluarës.</w:t>
            </w:r>
          </w:p>
        </w:tc>
      </w:tr>
    </w:tbl>
    <w:p>
      <w:pPr>
        <w:spacing w:after="80"/>
      </w:pPr>
    </w:p>
    <w:p>
      <w:r>
        <w:br w:type="page"/>
      </w:r>
    </w:p>
    <w:p>
      <w:pPr>
        <w:spacing w:before="240" w:after="120"/>
        <w:jc w:val="left"/>
      </w:pPr>
      <w:r>
        <w:rPr>
          <w:rFonts w:ascii="Calibri" w:hAnsi="Calibri"/>
          <w:b/>
          <w:color w:val="1A375E"/>
          <w:sz w:val="36"/>
        </w:rPr>
        <w:t>2. Çfarë është Instrumenti i Huazimit të Kohës?</w:t>
      </w:r>
    </w:p>
    <w:p>
      <w:pPr>
        <w:spacing w:before="80" w:after="80"/>
        <w:pBdr>
          <w:bottom w:val="single" w:sz="6" w:space="1" w:color="007A87"/>
        </w:pBdr>
      </w:pPr>
    </w:p>
    <w:p>
      <w:pPr>
        <w:spacing w:after="160" w:before="0"/>
      </w:pPr>
      <w:r>
        <w:rPr>
          <w:rFonts w:ascii="Calibri" w:hAnsi="Calibri"/>
          <w:b w:val="0"/>
          <w:i w:val="0"/>
          <w:sz w:val="21"/>
        </w:rPr>
        <w:t>Instrumenti i Huazimit të Kohës është mjet financiar suveren që u mundëson qytetarëve të huazojnë kundrejt KOHSËS SË TYRE TË ARDHSHME — punës, kontributit dhe punës së ardhshme — jo kundrejt kolateralit financiar. Financohet plotësisht nga një taksë e dedikuar mbi prodhimin e inteligjencës artificiale dhe sistemeve të automatizimit.</w:t>
      </w:r>
    </w:p>
    <w:p>
      <w:pPr>
        <w:spacing w:before="240" w:after="120"/>
        <w:jc w:val="left"/>
      </w:pPr>
      <w:r>
        <w:rPr>
          <w:rFonts w:ascii="Calibri" w:hAnsi="Calibri"/>
          <w:b/>
          <w:color w:val="007A87"/>
          <w:sz w:val="28"/>
        </w:rPr>
        <w:t>2.1 Qarku kryesor</w:t>
      </w:r>
    </w:p>
    <w:p>
      <w:pPr>
        <w:spacing w:after="120" w:before="0"/>
      </w:pPr>
      <w:r>
        <w:rPr>
          <w:rFonts w:ascii="Calibri" w:hAnsi="Calibri"/>
          <w:b w:val="0"/>
          <w:i w:val="0"/>
          <w:sz w:val="21"/>
        </w:rPr>
        <w:t>Mekanizmi funksionon si qark i mbyllur, vetëfinancues:</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007A87"/>
          </w:tcPr>
          <w:p>
            <w:pPr>
              <w:jc w:val="center"/>
            </w:pPr>
            <w:r>
              <w:rPr>
                <w:rFonts w:ascii="Calibri" w:hAnsi="Calibri"/>
                <w:b/>
                <w:color w:val="FFFFFF"/>
                <w:sz w:val="19"/>
              </w:rPr>
              <w:t>Hapi</w:t>
            </w:r>
          </w:p>
        </w:tc>
        <w:tc>
          <w:tcPr>
            <w:tcW w:type="dxa" w:w="3022"/>
            <w:shd w:val="clear" w:color="auto" w:fill="007A87"/>
          </w:tcPr>
          <w:p>
            <w:pPr>
              <w:jc w:val="center"/>
            </w:pPr>
            <w:r>
              <w:rPr>
                <w:rFonts w:ascii="Calibri" w:hAnsi="Calibri"/>
                <w:b/>
                <w:color w:val="FFFFFF"/>
                <w:sz w:val="19"/>
              </w:rPr>
              <w:t>Aktori</w:t>
            </w:r>
          </w:p>
        </w:tc>
        <w:tc>
          <w:tcPr>
            <w:tcW w:type="dxa" w:w="3022"/>
            <w:shd w:val="clear" w:color="auto" w:fill="007A87"/>
          </w:tcPr>
          <w:p>
            <w:pPr>
              <w:jc w:val="center"/>
            </w:pPr>
            <w:r>
              <w:rPr>
                <w:rFonts w:ascii="Calibri" w:hAnsi="Calibri"/>
                <w:b/>
                <w:color w:val="FFFFFF"/>
                <w:sz w:val="19"/>
              </w:rPr>
              <w:t>Veprimi</w:t>
            </w:r>
          </w:p>
        </w:tc>
      </w:tr>
      <w:tr>
        <w:tc>
          <w:tcPr>
            <w:tcW w:type="dxa" w:w="3022"/>
          </w:tcPr>
          <w:p>
            <w:pPr>
              <w:jc w:val="left"/>
            </w:pPr>
            <w:r>
              <w:rPr>
                <w:rFonts w:ascii="Calibri" w:hAnsi="Calibri"/>
                <w:sz w:val="19"/>
              </w:rPr>
              <w:t>1</w:t>
            </w:r>
          </w:p>
        </w:tc>
        <w:tc>
          <w:tcPr>
            <w:tcW w:type="dxa" w:w="3022"/>
          </w:tcPr>
          <w:p>
            <w:pPr>
              <w:jc w:val="center"/>
            </w:pPr>
            <w:r>
              <w:rPr>
                <w:rFonts w:ascii="Calibri" w:hAnsi="Calibri"/>
                <w:sz w:val="19"/>
              </w:rPr>
              <w:t>Sistemet AI dhe automatizimit</w:t>
            </w:r>
          </w:p>
        </w:tc>
        <w:tc>
          <w:tcPr>
            <w:tcW w:type="dxa" w:w="3022"/>
          </w:tcPr>
          <w:p>
            <w:pPr>
              <w:jc w:val="center"/>
            </w:pPr>
            <w:r>
              <w:rPr>
                <w:rFonts w:ascii="Calibri" w:hAnsi="Calibri"/>
                <w:sz w:val="19"/>
              </w:rPr>
              <w:t>Gjenero tepricë ekonomike përmes punës së automatizuar</w:t>
            </w:r>
          </w:p>
        </w:tc>
      </w:tr>
      <w:tr>
        <w:tc>
          <w:tcPr>
            <w:tcW w:type="dxa" w:w="3022"/>
            <w:shd w:val="clear" w:color="auto" w:fill="EEF3FA"/>
          </w:tcPr>
          <w:p>
            <w:pPr>
              <w:jc w:val="left"/>
            </w:pPr>
            <w:r>
              <w:rPr>
                <w:rFonts w:ascii="Calibri" w:hAnsi="Calibri"/>
                <w:sz w:val="19"/>
              </w:rPr>
              <w:t>2</w:t>
            </w:r>
          </w:p>
        </w:tc>
        <w:tc>
          <w:tcPr>
            <w:tcW w:type="dxa" w:w="3022"/>
            <w:shd w:val="clear" w:color="auto" w:fill="EEF3FA"/>
          </w:tcPr>
          <w:p>
            <w:pPr>
              <w:jc w:val="center"/>
            </w:pPr>
            <w:r>
              <w:rPr>
                <w:rFonts w:ascii="Calibri" w:hAnsi="Calibri"/>
                <w:sz w:val="19"/>
              </w:rPr>
              <w:t>Taksa e automatizimit (15%)</w:t>
            </w:r>
          </w:p>
        </w:tc>
        <w:tc>
          <w:tcPr>
            <w:tcW w:type="dxa" w:w="3022"/>
            <w:shd w:val="clear" w:color="auto" w:fill="EEF3FA"/>
          </w:tcPr>
          <w:p>
            <w:pPr>
              <w:jc w:val="center"/>
            </w:pPr>
            <w:r>
              <w:rPr>
                <w:rFonts w:ascii="Calibri" w:hAnsi="Calibri"/>
                <w:sz w:val="19"/>
              </w:rPr>
              <w:t>Një taksë e dedikuar mbi vlerën e prodhimit AI/automatizim</w:t>
            </w:r>
          </w:p>
        </w:tc>
      </w:tr>
      <w:tr>
        <w:tc>
          <w:tcPr>
            <w:tcW w:type="dxa" w:w="3022"/>
          </w:tcPr>
          <w:p>
            <w:pPr>
              <w:jc w:val="left"/>
            </w:pPr>
            <w:r>
              <w:rPr>
                <w:rFonts w:ascii="Calibri" w:hAnsi="Calibri"/>
                <w:sz w:val="19"/>
              </w:rPr>
              <w:t>3</w:t>
            </w:r>
          </w:p>
        </w:tc>
        <w:tc>
          <w:tcPr>
            <w:tcW w:type="dxa" w:w="3022"/>
          </w:tcPr>
          <w:p>
            <w:pPr>
              <w:jc w:val="center"/>
            </w:pPr>
            <w:r>
              <w:rPr>
                <w:rFonts w:ascii="Calibri" w:hAnsi="Calibri"/>
                <w:sz w:val="19"/>
              </w:rPr>
              <w:t>Fondi i likuiditetit TB</w:t>
            </w:r>
          </w:p>
        </w:tc>
        <w:tc>
          <w:tcPr>
            <w:tcW w:type="dxa" w:w="3022"/>
          </w:tcPr>
          <w:p>
            <w:pPr>
              <w:jc w:val="center"/>
            </w:pPr>
            <w:r>
              <w:rPr>
                <w:rFonts w:ascii="Calibri" w:hAnsi="Calibri"/>
                <w:sz w:val="19"/>
              </w:rPr>
              <w:t>Fond suveren i izoluar — kurrë nuk hyn në buxhetin e përgjithshëm</w:t>
            </w:r>
          </w:p>
        </w:tc>
      </w:tr>
      <w:tr>
        <w:tc>
          <w:tcPr>
            <w:tcW w:type="dxa" w:w="3022"/>
            <w:shd w:val="clear" w:color="auto" w:fill="EEF3FA"/>
          </w:tcPr>
          <w:p>
            <w:pPr>
              <w:jc w:val="left"/>
            </w:pPr>
            <w:r>
              <w:rPr>
                <w:rFonts w:ascii="Calibri" w:hAnsi="Calibri"/>
                <w:sz w:val="19"/>
              </w:rPr>
              <w:t>4</w:t>
            </w:r>
          </w:p>
        </w:tc>
        <w:tc>
          <w:tcPr>
            <w:tcW w:type="dxa" w:w="3022"/>
            <w:shd w:val="clear" w:color="auto" w:fill="EEF3FA"/>
          </w:tcPr>
          <w:p>
            <w:pPr>
              <w:jc w:val="center"/>
            </w:pPr>
            <w:r>
              <w:rPr>
                <w:rFonts w:ascii="Calibri" w:hAnsi="Calibri"/>
                <w:sz w:val="19"/>
              </w:rPr>
              <w:t>Avanci për qytetarin</w:t>
            </w:r>
          </w:p>
        </w:tc>
        <w:tc>
          <w:tcPr>
            <w:tcW w:type="dxa" w:w="3022"/>
            <w:shd w:val="clear" w:color="auto" w:fill="EEF3FA"/>
          </w:tcPr>
          <w:p>
            <w:pPr>
              <w:jc w:val="center"/>
            </w:pPr>
            <w:r>
              <w:rPr>
                <w:rFonts w:ascii="Calibri" w:hAnsi="Calibri"/>
                <w:sz w:val="19"/>
              </w:rPr>
              <w:t>Kapitali lëshohet për qytetarët e përshtatshëm (arsim / biznes / vështirësi)</w:t>
            </w:r>
          </w:p>
        </w:tc>
      </w:tr>
      <w:tr>
        <w:tc>
          <w:tcPr>
            <w:tcW w:type="dxa" w:w="3022"/>
          </w:tcPr>
          <w:p>
            <w:pPr>
              <w:jc w:val="left"/>
            </w:pPr>
            <w:r>
              <w:rPr>
                <w:rFonts w:ascii="Calibri" w:hAnsi="Calibri"/>
                <w:sz w:val="19"/>
              </w:rPr>
              <w:t>5</w:t>
            </w:r>
          </w:p>
        </w:tc>
        <w:tc>
          <w:tcPr>
            <w:tcW w:type="dxa" w:w="3022"/>
          </w:tcPr>
          <w:p>
            <w:pPr>
              <w:jc w:val="center"/>
            </w:pPr>
            <w:r>
              <w:rPr>
                <w:rFonts w:ascii="Calibri" w:hAnsi="Calibri"/>
                <w:sz w:val="19"/>
              </w:rPr>
              <w:t>Përdorim produktiv</w:t>
            </w:r>
          </w:p>
        </w:tc>
        <w:tc>
          <w:tcPr>
            <w:tcW w:type="dxa" w:w="3022"/>
          </w:tcPr>
          <w:p>
            <w:pPr>
              <w:jc w:val="center"/>
            </w:pPr>
            <w:r>
              <w:rPr>
                <w:rFonts w:ascii="Calibri" w:hAnsi="Calibri"/>
                <w:sz w:val="19"/>
              </w:rPr>
              <w:t>Qytetari studion, hap biznes, ose kapërcen periudhën e vështirësisë</w:t>
            </w:r>
          </w:p>
        </w:tc>
      </w:tr>
      <w:tr>
        <w:tc>
          <w:tcPr>
            <w:tcW w:type="dxa" w:w="3022"/>
            <w:shd w:val="clear" w:color="auto" w:fill="EEF3FA"/>
          </w:tcPr>
          <w:p>
            <w:pPr>
              <w:jc w:val="left"/>
            </w:pPr>
            <w:r>
              <w:rPr>
                <w:rFonts w:ascii="Calibri" w:hAnsi="Calibri"/>
                <w:sz w:val="19"/>
              </w:rPr>
              <w:t>6</w:t>
            </w:r>
          </w:p>
        </w:tc>
        <w:tc>
          <w:tcPr>
            <w:tcW w:type="dxa" w:w="3022"/>
            <w:shd w:val="clear" w:color="auto" w:fill="EEF3FA"/>
          </w:tcPr>
          <w:p>
            <w:pPr>
              <w:jc w:val="center"/>
            </w:pPr>
            <w:r>
              <w:rPr>
                <w:rFonts w:ascii="Calibri" w:hAnsi="Calibri"/>
                <w:sz w:val="19"/>
              </w:rPr>
              <w:t>Ripagimi</w:t>
            </w:r>
          </w:p>
        </w:tc>
        <w:tc>
          <w:tcPr>
            <w:tcW w:type="dxa" w:w="3022"/>
            <w:shd w:val="clear" w:color="auto" w:fill="EEF3FA"/>
          </w:tcPr>
          <w:p>
            <w:pPr>
              <w:jc w:val="center"/>
            </w:pPr>
            <w:r>
              <w:rPr>
                <w:rFonts w:ascii="Calibri" w:hAnsi="Calibri"/>
                <w:sz w:val="19"/>
              </w:rPr>
              <w:t>Qytetari ripaguan brenda dritares së rënë dakord (0% interes — koha është kolateral)</w:t>
            </w:r>
          </w:p>
        </w:tc>
      </w:tr>
      <w:tr>
        <w:tc>
          <w:tcPr>
            <w:tcW w:type="dxa" w:w="3022"/>
          </w:tcPr>
          <w:p>
            <w:pPr>
              <w:jc w:val="left"/>
            </w:pPr>
            <w:r>
              <w:rPr>
                <w:rFonts w:ascii="Calibri" w:hAnsi="Calibri"/>
                <w:sz w:val="19"/>
              </w:rPr>
              <w:t>7</w:t>
            </w:r>
          </w:p>
        </w:tc>
        <w:tc>
          <w:tcPr>
            <w:tcW w:type="dxa" w:w="3022"/>
          </w:tcPr>
          <w:p>
            <w:pPr>
              <w:jc w:val="center"/>
            </w:pPr>
            <w:r>
              <w:rPr>
                <w:rFonts w:ascii="Calibri" w:hAnsi="Calibri"/>
                <w:sz w:val="19"/>
              </w:rPr>
              <w:t>Fondi u rimbush</w:t>
            </w:r>
          </w:p>
        </w:tc>
        <w:tc>
          <w:tcPr>
            <w:tcW w:type="dxa" w:w="3022"/>
          </w:tcPr>
          <w:p>
            <w:pPr>
              <w:jc w:val="center"/>
            </w:pPr>
            <w:r>
              <w:rPr>
                <w:rFonts w:ascii="Calibri" w:hAnsi="Calibri"/>
                <w:sz w:val="19"/>
              </w:rPr>
              <w:t>Ripagimet kthehen në fond → financohet qytetari tjetër</w:t>
            </w:r>
          </w:p>
        </w:tc>
      </w:tr>
      <w:tr>
        <w:tc>
          <w:tcPr>
            <w:tcW w:type="dxa" w:w="3022"/>
            <w:shd w:val="clear" w:color="auto" w:fill="EEF3FA"/>
          </w:tcPr>
          <w:p>
            <w:pPr>
              <w:jc w:val="left"/>
            </w:pPr>
            <w:r>
              <w:rPr>
                <w:rFonts w:ascii="Calibri" w:hAnsi="Calibri"/>
                <w:sz w:val="19"/>
              </w:rPr>
              <w:t>7b</w:t>
            </w:r>
          </w:p>
        </w:tc>
        <w:tc>
          <w:tcPr>
            <w:tcW w:type="dxa" w:w="3022"/>
            <w:shd w:val="clear" w:color="auto" w:fill="EEF3FA"/>
          </w:tcPr>
          <w:p>
            <w:pPr>
              <w:jc w:val="center"/>
            </w:pPr>
            <w:r>
              <w:rPr>
                <w:rFonts w:ascii="Calibri" w:hAnsi="Calibri"/>
                <w:sz w:val="19"/>
              </w:rPr>
              <w:t>Ndalësi i qarkut të mospagimit</w:t>
            </w:r>
          </w:p>
        </w:tc>
        <w:tc>
          <w:tcPr>
            <w:tcW w:type="dxa" w:w="3022"/>
            <w:shd w:val="clear" w:color="auto" w:fill="EEF3FA"/>
          </w:tcPr>
          <w:p>
            <w:pPr>
              <w:jc w:val="center"/>
            </w:pPr>
            <w:r>
              <w:rPr>
                <w:rFonts w:ascii="Calibri" w:hAnsi="Calibri"/>
                <w:sz w:val="19"/>
              </w:rPr>
              <w:t>&lt; 30% e ripaguar → llogaritet ngrirja TDRW → parandalon zbrazjen e fondit</w:t>
            </w:r>
          </w:p>
        </w:tc>
      </w:tr>
    </w:tbl>
    <w:p>
      <w:pPr>
        <w:spacing w:after="80"/>
      </w:pPr>
    </w:p>
    <w:p>
      <w:pPr>
        <w:spacing w:before="240" w:after="120"/>
        <w:jc w:val="left"/>
      </w:pPr>
      <w:r>
        <w:rPr>
          <w:rFonts w:ascii="Calibri" w:hAnsi="Calibri"/>
          <w:b/>
          <w:color w:val="007A87"/>
          <w:sz w:val="28"/>
        </w:rPr>
        <w:t>2.2 Përshtatshmëria dhe qasja</w:t>
      </w:r>
    </w:p>
    <w:p>
      <w:pPr>
        <w:spacing w:after="80" w:before="0"/>
      </w:pPr>
      <w:r>
        <w:rPr>
          <w:rFonts w:ascii="Calibri" w:hAnsi="Calibri"/>
          <w:b w:val="0"/>
          <w:i w:val="0"/>
          <w:sz w:val="21"/>
        </w:rPr>
        <w:t>Për të marrë një avancim Huazimi i Kohës, qytetari duhet të kalojë tre porta:</w:t>
      </w:r>
    </w:p>
    <w:p>
      <w:pPr>
        <w:pStyle w:val="ListBullet"/>
        <w:spacing w:after="60" w:before="20"/>
        <w:ind w:left="454"/>
      </w:pPr>
      <w:r>
        <w:rPr>
          <w:rFonts w:ascii="Calibri" w:hAnsi="Calibri"/>
          <w:sz w:val="21"/>
        </w:rPr>
        <w:t>Aktualisht jo në dritare ngrirjeje nga mospagim i mëparshëm</w:t>
      </w:r>
    </w:p>
    <w:p>
      <w:pPr>
        <w:pStyle w:val="ListBullet"/>
        <w:spacing w:after="60" w:before="20"/>
        <w:ind w:left="454"/>
      </w:pPr>
      <w:r>
        <w:rPr>
          <w:rFonts w:ascii="Calibri" w:hAnsi="Calibri"/>
          <w:sz w:val="21"/>
        </w:rPr>
        <w:t>Pa huazim aktiv të Huazimit të Kohës</w:t>
      </w:r>
    </w:p>
    <w:p>
      <w:pPr>
        <w:pStyle w:val="ListBullet"/>
        <w:spacing w:after="60" w:before="20"/>
        <w:ind w:left="454"/>
      </w:pPr>
      <w:r>
        <w:rPr>
          <w:rFonts w:ascii="Calibri" w:hAnsi="Calibri"/>
          <w:sz w:val="21"/>
        </w:rPr>
        <w:t>Fondi TB ka fonde të mjaftueshme mbi dyshemenë 20% të rezervës</w:t>
      </w:r>
    </w:p>
    <w:p>
      <w:pPr>
        <w:spacing w:after="160" w:before="0"/>
      </w:pPr>
      <w:r>
        <w:rPr>
          <w:rFonts w:ascii="Calibri" w:hAnsi="Calibri"/>
          <w:b w:val="0"/>
          <w:i w:val="0"/>
          <w:sz w:val="21"/>
        </w:rPr>
        <w:t>Pasi të përshtateni, avanci i miratuar kufizohet nga pjesëmarrja e fondit dhe minimumi (500 njësi) dhe maksimumi (5.000 njësi) i vendosur nga qeveria për cikël.</w:t>
      </w:r>
    </w:p>
    <w:p>
      <w:pPr>
        <w:spacing w:before="240" w:after="120"/>
        <w:jc w:val="left"/>
      </w:pPr>
      <w:r>
        <w:rPr>
          <w:rFonts w:ascii="Calibri" w:hAnsi="Calibri"/>
          <w:b/>
          <w:color w:val="007A87"/>
          <w:sz w:val="28"/>
        </w:rPr>
        <w:t>2.3 Modeli i ripagimit — 0% interes</w:t>
      </w:r>
    </w:p>
    <w:p>
      <w:pPr>
        <w:spacing w:after="80" w:before="0"/>
      </w:pPr>
      <w:r>
        <w:rPr>
          <w:rFonts w:ascii="Calibri" w:hAnsi="Calibri"/>
          <w:b w:val="0"/>
          <w:i w:val="0"/>
          <w:sz w:val="21"/>
        </w:rPr>
        <w:t>Ndryshe nga çdo kredi bankare, NUK ka interes financiar. Kolaterali është koha dhe kontributi i ardhshëm i qytetarit në shoqëri — jo pasuria ekzistuese. Ripagimet strukturohen si këste vjetore të barabarta në dritaren e huazimit të rënë dakord (1 deri në 5 vjet).</w:t>
      </w:r>
    </w:p>
    <w:tbl>
      <w:tblPr>
        <w:tblW w:type="auto" w:w="0"/>
        <w:tblLook w:firstColumn="1" w:firstRow="1" w:lastColumn="0" w:lastRow="0" w:noHBand="0" w:noVBand="1" w:val="04A0"/>
      </w:tblPr>
      <w:tblGrid>
        <w:gridCol w:w="9066"/>
      </w:tblGrid>
      <w:tr>
        <w:tc>
          <w:tcPr>
            <w:tcW w:type="dxa" w:w="9066"/>
            <w:shd w:val="clear" w:color="auto" w:fill="E8F4F7"/>
          </w:tcPr>
          <w:p>
            <w:pPr>
              <w:spacing w:before="120" w:after="120"/>
              <w:ind w:left="170"/>
            </w:pPr>
            <w:r>
              <w:rPr>
                <w:rFonts w:ascii="Calibri" w:hAnsi="Calibri"/>
                <w:i/>
                <w:color w:val="1A375E"/>
                <w:sz w:val="21"/>
              </w:rPr>
              <w:t>Shembull: Një qytetar huazon 3.000 njësi në 5 vjet. Ripagimi vjetor = 600 njësi/vit. Totali i ripaguar = 3.000 njësi. Interesi i ngarkuar = ZERO. Kostoja e vetme është koha.</w:t>
            </w:r>
          </w:p>
        </w:tc>
      </w:tr>
    </w:tbl>
    <w:p>
      <w:pPr>
        <w:spacing w:after="80"/>
      </w:pPr>
    </w:p>
    <w:p>
      <w:pPr>
        <w:spacing w:before="240" w:after="120"/>
        <w:jc w:val="left"/>
      </w:pPr>
      <w:r>
        <w:rPr>
          <w:rFonts w:ascii="Calibri" w:hAnsi="Calibri"/>
          <w:b/>
          <w:color w:val="007A87"/>
          <w:sz w:val="28"/>
        </w:rPr>
        <w:t>2.4 TDRW — qarku vetëbalancues i mospagimit</w:t>
      </w:r>
    </w:p>
    <w:p>
      <w:pPr>
        <w:spacing w:after="120" w:before="0"/>
      </w:pPr>
      <w:r>
        <w:rPr>
          <w:rFonts w:ascii="Calibri" w:hAnsi="Calibri"/>
          <w:b w:val="0"/>
          <w:i w:val="0"/>
          <w:sz w:val="21"/>
        </w:rPr>
        <w:t>Dritarja e Rimarrjes së Borxhit Kohor (TDRW) është valva matematike e sigurisë që parandalon shfrytëzimin e fondit. Kur një qytetar ripaguan më pak se 30% të avancit, llogaritet periudha ngrirjeje bazuar në tre faktorë:</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007A87"/>
          </w:tcPr>
          <w:p>
            <w:pPr>
              <w:jc w:val="center"/>
            </w:pPr>
            <w:r>
              <w:rPr>
                <w:rFonts w:ascii="Calibri" w:hAnsi="Calibri"/>
                <w:b/>
                <w:color w:val="FFFFFF"/>
                <w:sz w:val="19"/>
              </w:rPr>
              <w:t>Faktori</w:t>
            </w:r>
          </w:p>
        </w:tc>
        <w:tc>
          <w:tcPr>
            <w:tcW w:type="dxa" w:w="3022"/>
            <w:shd w:val="clear" w:color="auto" w:fill="007A87"/>
          </w:tcPr>
          <w:p>
            <w:pPr>
              <w:jc w:val="center"/>
            </w:pPr>
            <w:r>
              <w:rPr>
                <w:rFonts w:ascii="Calibri" w:hAnsi="Calibri"/>
                <w:b/>
                <w:color w:val="FFFFFF"/>
                <w:sz w:val="19"/>
              </w:rPr>
              <w:t>Efekti</w:t>
            </w:r>
          </w:p>
        </w:tc>
        <w:tc>
          <w:tcPr>
            <w:tcW w:type="dxa" w:w="3022"/>
            <w:shd w:val="clear" w:color="auto" w:fill="007A87"/>
          </w:tcPr>
          <w:p>
            <w:pPr>
              <w:jc w:val="center"/>
            </w:pPr>
            <w:r>
              <w:rPr>
                <w:rFonts w:ascii="Calibri" w:hAnsi="Calibri"/>
                <w:b/>
                <w:color w:val="FFFFFF"/>
                <w:sz w:val="19"/>
              </w:rPr>
              <w:t>Komponenti i formulës</w:t>
            </w:r>
          </w:p>
        </w:tc>
      </w:tr>
      <w:tr>
        <w:tc>
          <w:tcPr>
            <w:tcW w:type="dxa" w:w="3022"/>
          </w:tcPr>
          <w:p>
            <w:pPr>
              <w:jc w:val="left"/>
            </w:pPr>
            <w:r>
              <w:rPr>
                <w:rFonts w:ascii="Calibri" w:hAnsi="Calibri"/>
                <w:sz w:val="19"/>
              </w:rPr>
              <w:t>Ashpësia e mospagimit</w:t>
            </w:r>
          </w:p>
        </w:tc>
        <w:tc>
          <w:tcPr>
            <w:tcW w:type="dxa" w:w="3022"/>
          </w:tcPr>
          <w:p>
            <w:pPr>
              <w:jc w:val="center"/>
            </w:pPr>
            <w:r>
              <w:rPr>
                <w:rFonts w:ascii="Calibri" w:hAnsi="Calibri"/>
                <w:sz w:val="19"/>
              </w:rPr>
              <w:t>Sa larg u ulën nga 30%</w:t>
            </w:r>
          </w:p>
        </w:tc>
        <w:tc>
          <w:tcPr>
            <w:tcW w:type="dxa" w:w="3022"/>
          </w:tcPr>
          <w:p>
            <w:pPr>
              <w:jc w:val="center"/>
            </w:pPr>
            <w:r>
              <w:rPr>
                <w:rFonts w:ascii="Calibri" w:hAnsi="Calibri"/>
                <w:sz w:val="19"/>
              </w:rPr>
              <w:t>severity = (0.30 - repaid%) / 0.30</w:t>
            </w:r>
          </w:p>
        </w:tc>
      </w:tr>
      <w:tr>
        <w:tc>
          <w:tcPr>
            <w:tcW w:type="dxa" w:w="3022"/>
            <w:shd w:val="clear" w:color="auto" w:fill="EEF3FA"/>
          </w:tcPr>
          <w:p>
            <w:pPr>
              <w:jc w:val="left"/>
            </w:pPr>
            <w:r>
              <w:rPr>
                <w:rFonts w:ascii="Calibri" w:hAnsi="Calibri"/>
                <w:sz w:val="19"/>
              </w:rPr>
              <w:t>Shkeljet e përsëritura</w:t>
            </w:r>
          </w:p>
        </w:tc>
        <w:tc>
          <w:tcPr>
            <w:tcW w:type="dxa" w:w="3022"/>
            <w:shd w:val="clear" w:color="auto" w:fill="EEF3FA"/>
          </w:tcPr>
          <w:p>
            <w:pPr>
              <w:jc w:val="center"/>
            </w:pPr>
            <w:r>
              <w:rPr>
                <w:rFonts w:ascii="Calibri" w:hAnsi="Calibri"/>
                <w:sz w:val="19"/>
              </w:rPr>
              <w:t>Çdo mospagim i mëparshëm shumëzon ngrirjen</w:t>
            </w:r>
          </w:p>
        </w:tc>
        <w:tc>
          <w:tcPr>
            <w:tcW w:type="dxa" w:w="3022"/>
            <w:shd w:val="clear" w:color="auto" w:fill="EEF3FA"/>
          </w:tcPr>
          <w:p>
            <w:pPr>
              <w:jc w:val="center"/>
            </w:pPr>
            <w:r>
              <w:rPr>
                <w:rFonts w:ascii="Calibri" w:hAnsi="Calibri"/>
                <w:sz w:val="19"/>
              </w:rPr>
              <w:t>× (1 + mospagime × 1,5)</w:t>
            </w:r>
          </w:p>
        </w:tc>
      </w:tr>
      <w:tr>
        <w:tc>
          <w:tcPr>
            <w:tcW w:type="dxa" w:w="3022"/>
          </w:tcPr>
          <w:p>
            <w:pPr>
              <w:jc w:val="left"/>
            </w:pPr>
            <w:r>
              <w:rPr>
                <w:rFonts w:ascii="Calibri" w:hAnsi="Calibri"/>
                <w:sz w:val="19"/>
              </w:rPr>
              <w:t>Periudha e huazimit</w:t>
            </w:r>
          </w:p>
        </w:tc>
        <w:tc>
          <w:tcPr>
            <w:tcW w:type="dxa" w:w="3022"/>
          </w:tcPr>
          <w:p>
            <w:pPr>
              <w:jc w:val="center"/>
            </w:pPr>
            <w:r>
              <w:rPr>
                <w:rFonts w:ascii="Calibri" w:hAnsi="Calibri"/>
                <w:sz w:val="19"/>
              </w:rPr>
              <w:t>Dritare më e gjatë TB → ngrirje proporcionalisht më e gjatë</w:t>
            </w:r>
          </w:p>
        </w:tc>
        <w:tc>
          <w:tcPr>
            <w:tcW w:type="dxa" w:w="3022"/>
          </w:tcPr>
          <w:p>
            <w:pPr>
              <w:jc w:val="center"/>
            </w:pPr>
            <w:r>
              <w:rPr>
                <w:rFonts w:ascii="Calibri" w:hAnsi="Calibri"/>
                <w:sz w:val="19"/>
              </w:rPr>
              <w:t>× (periudha / 3 vjet)</w:t>
            </w:r>
          </w:p>
        </w:tc>
      </w:tr>
      <w:tr>
        <w:tc>
          <w:tcPr>
            <w:tcW w:type="dxa" w:w="3022"/>
            <w:shd w:val="clear" w:color="auto" w:fill="EEF3FA"/>
          </w:tcPr>
          <w:p>
            <w:pPr>
              <w:jc w:val="left"/>
            </w:pPr>
            <w:r>
              <w:rPr>
                <w:rFonts w:ascii="Calibri" w:hAnsi="Calibri"/>
                <w:sz w:val="19"/>
              </w:rPr>
              <w:t>Tavani maksimal</w:t>
            </w:r>
          </w:p>
        </w:tc>
        <w:tc>
          <w:tcPr>
            <w:tcW w:type="dxa" w:w="3022"/>
            <w:shd w:val="clear" w:color="auto" w:fill="EEF3FA"/>
          </w:tcPr>
          <w:p>
            <w:pPr>
              <w:jc w:val="center"/>
            </w:pPr>
            <w:r>
              <w:rPr>
                <w:rFonts w:ascii="Calibri" w:hAnsi="Calibri"/>
                <w:sz w:val="19"/>
              </w:rPr>
              <w:t>Ngrirja nuk tejkalon kurrë 7 vjet</w:t>
            </w:r>
          </w:p>
        </w:tc>
        <w:tc>
          <w:tcPr>
            <w:tcW w:type="dxa" w:w="3022"/>
            <w:shd w:val="clear" w:color="auto" w:fill="EEF3FA"/>
          </w:tcPr>
          <w:p>
            <w:pPr>
              <w:jc w:val="center"/>
            </w:pPr>
            <w:r>
              <w:rPr>
                <w:rFonts w:ascii="Calibri" w:hAnsi="Calibri"/>
                <w:sz w:val="19"/>
              </w:rPr>
              <w:t>e kufizuar në F_max = 7 vjet</w:t>
            </w:r>
          </w:p>
        </w:tc>
      </w:tr>
    </w:tbl>
    <w:p>
      <w:pPr>
        <w:spacing w:after="80"/>
      </w:pPr>
    </w:p>
    <w:p>
      <w:pPr>
        <w:spacing w:after="80" w:before="0"/>
      </w:pPr>
      <w:r>
        <w:rPr>
          <w:rFonts w:ascii="Calibri" w:hAnsi="Calibri"/>
          <w:b w:val="0"/>
          <w:i w:val="0"/>
          <w:sz w:val="21"/>
        </w:rPr>
        <w:t>Rezultatet e verifikuara TDRW nga simulimi:</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color="auto" w:fill="1A375E"/>
          </w:tcPr>
          <w:p>
            <w:pPr>
              <w:jc w:val="center"/>
            </w:pPr>
            <w:r>
              <w:rPr>
                <w:rFonts w:ascii="Calibri" w:hAnsi="Calibri"/>
                <w:b/>
                <w:color w:val="FFFFFF"/>
                <w:sz w:val="19"/>
              </w:rPr>
              <w:t>Skenari</w:t>
            </w:r>
          </w:p>
        </w:tc>
        <w:tc>
          <w:tcPr>
            <w:tcW w:type="dxa" w:w="2266"/>
            <w:shd w:val="clear" w:color="auto" w:fill="1A375E"/>
          </w:tcPr>
          <w:p>
            <w:pPr>
              <w:jc w:val="center"/>
            </w:pPr>
            <w:r>
              <w:rPr>
                <w:rFonts w:ascii="Calibri" w:hAnsi="Calibri"/>
                <w:b/>
                <w:color w:val="FFFFFF"/>
                <w:sz w:val="19"/>
              </w:rPr>
              <w:t>I ripaguar</w:t>
            </w:r>
          </w:p>
        </w:tc>
        <w:tc>
          <w:tcPr>
            <w:tcW w:type="dxa" w:w="2266"/>
            <w:shd w:val="clear" w:color="auto" w:fill="1A375E"/>
          </w:tcPr>
          <w:p>
            <w:pPr>
              <w:jc w:val="center"/>
            </w:pPr>
            <w:r>
              <w:rPr>
                <w:rFonts w:ascii="Calibri" w:hAnsi="Calibri"/>
                <w:b/>
                <w:color w:val="FFFFFF"/>
                <w:sz w:val="19"/>
              </w:rPr>
              <w:t>Mospagimet e mëparshme</w:t>
            </w:r>
          </w:p>
        </w:tc>
        <w:tc>
          <w:tcPr>
            <w:tcW w:type="dxa" w:w="2266"/>
            <w:shd w:val="clear" w:color="auto" w:fill="1A375E"/>
          </w:tcPr>
          <w:p>
            <w:pPr>
              <w:jc w:val="center"/>
            </w:pPr>
            <w:r>
              <w:rPr>
                <w:rFonts w:ascii="Calibri" w:hAnsi="Calibri"/>
                <w:b/>
                <w:color w:val="FFFFFF"/>
                <w:sz w:val="19"/>
              </w:rPr>
              <w:t>Periudha e ngrirjes</w:t>
            </w:r>
          </w:p>
        </w:tc>
      </w:tr>
      <w:tr>
        <w:tc>
          <w:tcPr>
            <w:tcW w:type="dxa" w:w="2266"/>
          </w:tcPr>
          <w:p>
            <w:pPr>
              <w:jc w:val="left"/>
            </w:pPr>
            <w:r>
              <w:rPr>
                <w:rFonts w:ascii="Calibri" w:hAnsi="Calibri"/>
                <w:sz w:val="19"/>
              </w:rPr>
              <w:t>Mospagim i plotë, TB 5 vjet, shkelja e parë</w:t>
            </w:r>
          </w:p>
        </w:tc>
        <w:tc>
          <w:tcPr>
            <w:tcW w:type="dxa" w:w="2266"/>
          </w:tcPr>
          <w:p>
            <w:pPr>
              <w:jc w:val="center"/>
            </w:pPr>
            <w:r>
              <w:rPr>
                <w:rFonts w:ascii="Calibri" w:hAnsi="Calibri"/>
                <w:sz w:val="19"/>
              </w:rPr>
              <w:t>0%</w:t>
            </w:r>
          </w:p>
        </w:tc>
        <w:tc>
          <w:tcPr>
            <w:tcW w:type="dxa" w:w="2266"/>
          </w:tcPr>
          <w:p>
            <w:pPr>
              <w:jc w:val="center"/>
            </w:pPr>
            <w:r>
              <w:rPr>
                <w:rFonts w:ascii="Calibri" w:hAnsi="Calibri"/>
                <w:sz w:val="19"/>
              </w:rPr>
              <w:t>0</w:t>
            </w:r>
          </w:p>
        </w:tc>
        <w:tc>
          <w:tcPr>
            <w:tcW w:type="dxa" w:w="2266"/>
          </w:tcPr>
          <w:p>
            <w:pPr>
              <w:jc w:val="center"/>
            </w:pPr>
            <w:r>
              <w:rPr>
                <w:rFonts w:ascii="Calibri" w:hAnsi="Calibri"/>
                <w:sz w:val="19"/>
              </w:rPr>
              <w:t>3,33 vjet</w:t>
            </w:r>
          </w:p>
        </w:tc>
      </w:tr>
      <w:tr>
        <w:tc>
          <w:tcPr>
            <w:tcW w:type="dxa" w:w="2266"/>
            <w:shd w:val="clear" w:color="auto" w:fill="EEF3FA"/>
          </w:tcPr>
          <w:p>
            <w:pPr>
              <w:jc w:val="left"/>
            </w:pPr>
            <w:r>
              <w:rPr>
                <w:rFonts w:ascii="Calibri" w:hAnsi="Calibri"/>
                <w:sz w:val="19"/>
              </w:rPr>
              <w:t>30% e ripaguar saktësisht (në prag)</w:t>
            </w:r>
          </w:p>
        </w:tc>
        <w:tc>
          <w:tcPr>
            <w:tcW w:type="dxa" w:w="2266"/>
            <w:shd w:val="clear" w:color="auto" w:fill="EEF3FA"/>
          </w:tcPr>
          <w:p>
            <w:pPr>
              <w:jc w:val="center"/>
            </w:pPr>
            <w:r>
              <w:rPr>
                <w:rFonts w:ascii="Calibri" w:hAnsi="Calibri"/>
                <w:sz w:val="19"/>
              </w:rPr>
              <w:t>30%</w:t>
            </w:r>
          </w:p>
        </w:tc>
        <w:tc>
          <w:tcPr>
            <w:tcW w:type="dxa" w:w="2266"/>
            <w:shd w:val="clear" w:color="auto" w:fill="EEF3FA"/>
          </w:tcPr>
          <w:p>
            <w:pPr>
              <w:jc w:val="center"/>
            </w:pPr>
            <w:r>
              <w:rPr>
                <w:rFonts w:ascii="Calibri" w:hAnsi="Calibri"/>
                <w:sz w:val="19"/>
              </w:rPr>
              <w:t>0</w:t>
            </w:r>
          </w:p>
        </w:tc>
        <w:tc>
          <w:tcPr>
            <w:tcW w:type="dxa" w:w="2266"/>
            <w:shd w:val="clear" w:color="auto" w:fill="EEF3FA"/>
          </w:tcPr>
          <w:p>
            <w:pPr>
              <w:jc w:val="center"/>
            </w:pPr>
            <w:r>
              <w:rPr>
                <w:rFonts w:ascii="Calibri" w:hAnsi="Calibri"/>
                <w:sz w:val="19"/>
              </w:rPr>
              <w:t>0 vjet — pa ngrirje</w:t>
            </w:r>
          </w:p>
        </w:tc>
      </w:tr>
      <w:tr>
        <w:tc>
          <w:tcPr>
            <w:tcW w:type="dxa" w:w="2266"/>
          </w:tcPr>
          <w:p>
            <w:pPr>
              <w:jc w:val="left"/>
            </w:pPr>
            <w:r>
              <w:rPr>
                <w:rFonts w:ascii="Calibri" w:hAnsi="Calibri"/>
                <w:sz w:val="19"/>
              </w:rPr>
              <w:t>20% e ripaguar, TB 5 vjet, shkelja e parë</w:t>
            </w:r>
          </w:p>
        </w:tc>
        <w:tc>
          <w:tcPr>
            <w:tcW w:type="dxa" w:w="2266"/>
          </w:tcPr>
          <w:p>
            <w:pPr>
              <w:jc w:val="center"/>
            </w:pPr>
            <w:r>
              <w:rPr>
                <w:rFonts w:ascii="Calibri" w:hAnsi="Calibri"/>
                <w:sz w:val="19"/>
              </w:rPr>
              <w:t>20%</w:t>
            </w:r>
          </w:p>
        </w:tc>
        <w:tc>
          <w:tcPr>
            <w:tcW w:type="dxa" w:w="2266"/>
          </w:tcPr>
          <w:p>
            <w:pPr>
              <w:jc w:val="center"/>
            </w:pPr>
            <w:r>
              <w:rPr>
                <w:rFonts w:ascii="Calibri" w:hAnsi="Calibri"/>
                <w:sz w:val="19"/>
              </w:rPr>
              <w:t>0</w:t>
            </w:r>
          </w:p>
        </w:tc>
        <w:tc>
          <w:tcPr>
            <w:tcW w:type="dxa" w:w="2266"/>
          </w:tcPr>
          <w:p>
            <w:pPr>
              <w:jc w:val="center"/>
            </w:pPr>
            <w:r>
              <w:rPr>
                <w:rFonts w:ascii="Calibri" w:hAnsi="Calibri"/>
                <w:sz w:val="19"/>
              </w:rPr>
              <w:t>2,22 vjet</w:t>
            </w:r>
          </w:p>
        </w:tc>
      </w:tr>
      <w:tr>
        <w:tc>
          <w:tcPr>
            <w:tcW w:type="dxa" w:w="2266"/>
            <w:shd w:val="clear" w:color="auto" w:fill="EEF3FA"/>
          </w:tcPr>
          <w:p>
            <w:pPr>
              <w:jc w:val="left"/>
            </w:pPr>
            <w:r>
              <w:rPr>
                <w:rFonts w:ascii="Calibri" w:hAnsi="Calibri"/>
                <w:sz w:val="19"/>
              </w:rPr>
              <w:t>20% e ripaguar, TB 5 vjet, shkelja e dytë</w:t>
            </w:r>
          </w:p>
        </w:tc>
        <w:tc>
          <w:tcPr>
            <w:tcW w:type="dxa" w:w="2266"/>
            <w:shd w:val="clear" w:color="auto" w:fill="EEF3FA"/>
          </w:tcPr>
          <w:p>
            <w:pPr>
              <w:jc w:val="center"/>
            </w:pPr>
            <w:r>
              <w:rPr>
                <w:rFonts w:ascii="Calibri" w:hAnsi="Calibri"/>
                <w:sz w:val="19"/>
              </w:rPr>
              <w:t>20%</w:t>
            </w:r>
          </w:p>
        </w:tc>
        <w:tc>
          <w:tcPr>
            <w:tcW w:type="dxa" w:w="2266"/>
            <w:shd w:val="clear" w:color="auto" w:fill="EEF3FA"/>
          </w:tcPr>
          <w:p>
            <w:pPr>
              <w:jc w:val="center"/>
            </w:pPr>
            <w:r>
              <w:rPr>
                <w:rFonts w:ascii="Calibri" w:hAnsi="Calibri"/>
                <w:sz w:val="19"/>
              </w:rPr>
              <w:t>1</w:t>
            </w:r>
          </w:p>
        </w:tc>
        <w:tc>
          <w:tcPr>
            <w:tcW w:type="dxa" w:w="2266"/>
            <w:shd w:val="clear" w:color="auto" w:fill="EEF3FA"/>
          </w:tcPr>
          <w:p>
            <w:pPr>
              <w:jc w:val="center"/>
            </w:pPr>
            <w:r>
              <w:rPr>
                <w:rFonts w:ascii="Calibri" w:hAnsi="Calibri"/>
                <w:sz w:val="19"/>
              </w:rPr>
              <w:t>5,56 vjet</w:t>
            </w:r>
          </w:p>
        </w:tc>
      </w:tr>
      <w:tr>
        <w:tc>
          <w:tcPr>
            <w:tcW w:type="dxa" w:w="2266"/>
          </w:tcPr>
          <w:p>
            <w:pPr>
              <w:jc w:val="left"/>
            </w:pPr>
            <w:r>
              <w:rPr>
                <w:rFonts w:ascii="Calibri" w:hAnsi="Calibri"/>
                <w:sz w:val="19"/>
              </w:rPr>
              <w:t>10% e ripaguar, TB 5 vjet, shkelja e parë</w:t>
            </w:r>
          </w:p>
        </w:tc>
        <w:tc>
          <w:tcPr>
            <w:tcW w:type="dxa" w:w="2266"/>
          </w:tcPr>
          <w:p>
            <w:pPr>
              <w:jc w:val="center"/>
            </w:pPr>
            <w:r>
              <w:rPr>
                <w:rFonts w:ascii="Calibri" w:hAnsi="Calibri"/>
                <w:sz w:val="19"/>
              </w:rPr>
              <w:t>10%</w:t>
            </w:r>
          </w:p>
        </w:tc>
        <w:tc>
          <w:tcPr>
            <w:tcW w:type="dxa" w:w="2266"/>
          </w:tcPr>
          <w:p>
            <w:pPr>
              <w:jc w:val="center"/>
            </w:pPr>
            <w:r>
              <w:rPr>
                <w:rFonts w:ascii="Calibri" w:hAnsi="Calibri"/>
                <w:sz w:val="19"/>
              </w:rPr>
              <w:t>0</w:t>
            </w:r>
          </w:p>
        </w:tc>
        <w:tc>
          <w:tcPr>
            <w:tcW w:type="dxa" w:w="2266"/>
          </w:tcPr>
          <w:p>
            <w:pPr>
              <w:jc w:val="center"/>
            </w:pPr>
            <w:r>
              <w:rPr>
                <w:rFonts w:ascii="Calibri" w:hAnsi="Calibri"/>
                <w:sz w:val="19"/>
              </w:rPr>
              <w:t>4,44 vjet</w:t>
            </w:r>
          </w:p>
        </w:tc>
      </w:tr>
      <w:tr>
        <w:tc>
          <w:tcPr>
            <w:tcW w:type="dxa" w:w="2266"/>
            <w:shd w:val="clear" w:color="auto" w:fill="EEF3FA"/>
          </w:tcPr>
          <w:p>
            <w:pPr>
              <w:jc w:val="left"/>
            </w:pPr>
            <w:r>
              <w:rPr>
                <w:rFonts w:ascii="Calibri" w:hAnsi="Calibri"/>
                <w:sz w:val="19"/>
              </w:rPr>
              <w:t>10% e ripaguar, TB 5 vjet, shkelja e tretë</w:t>
            </w:r>
          </w:p>
        </w:tc>
        <w:tc>
          <w:tcPr>
            <w:tcW w:type="dxa" w:w="2266"/>
            <w:shd w:val="clear" w:color="auto" w:fill="EEF3FA"/>
          </w:tcPr>
          <w:p>
            <w:pPr>
              <w:jc w:val="center"/>
            </w:pPr>
            <w:r>
              <w:rPr>
                <w:rFonts w:ascii="Calibri" w:hAnsi="Calibri"/>
                <w:sz w:val="19"/>
              </w:rPr>
              <w:t>10%</w:t>
            </w:r>
          </w:p>
        </w:tc>
        <w:tc>
          <w:tcPr>
            <w:tcW w:type="dxa" w:w="2266"/>
            <w:shd w:val="clear" w:color="auto" w:fill="EEF3FA"/>
          </w:tcPr>
          <w:p>
            <w:pPr>
              <w:jc w:val="center"/>
            </w:pPr>
            <w:r>
              <w:rPr>
                <w:rFonts w:ascii="Calibri" w:hAnsi="Calibri"/>
                <w:sz w:val="19"/>
              </w:rPr>
              <w:t>2</w:t>
            </w:r>
          </w:p>
        </w:tc>
        <w:tc>
          <w:tcPr>
            <w:tcW w:type="dxa" w:w="2266"/>
            <w:shd w:val="clear" w:color="auto" w:fill="EEF3FA"/>
          </w:tcPr>
          <w:p>
            <w:pPr>
              <w:jc w:val="center"/>
            </w:pPr>
            <w:r>
              <w:rPr>
                <w:rFonts w:ascii="Calibri" w:hAnsi="Calibri"/>
                <w:sz w:val="19"/>
              </w:rPr>
              <w:t>7,00 vjet (tavan)</w:t>
            </w:r>
          </w:p>
        </w:tc>
      </w:tr>
    </w:tbl>
    <w:p>
      <w:pPr>
        <w:spacing w:after="80"/>
      </w:pPr>
    </w:p>
    <w:p>
      <w:r>
        <w:br w:type="page"/>
      </w:r>
    </w:p>
    <w:p>
      <w:pPr>
        <w:spacing w:before="240" w:after="120"/>
        <w:jc w:val="left"/>
      </w:pPr>
      <w:r>
        <w:rPr>
          <w:rFonts w:ascii="Calibri" w:hAnsi="Calibri"/>
          <w:b/>
          <w:color w:val="1A375E"/>
          <w:sz w:val="36"/>
        </w:rPr>
        <w:t>3. Avantazhet</w:t>
      </w:r>
    </w:p>
    <w:p>
      <w:pPr>
        <w:spacing w:before="80" w:after="80"/>
        <w:pBdr>
          <w:bottom w:val="single" w:sz="6" w:space="1" w:color="007A87"/>
        </w:pBdr>
      </w:pPr>
    </w:p>
    <w:p>
      <w:pPr>
        <w:spacing w:before="240" w:after="120"/>
        <w:jc w:val="left"/>
      </w:pPr>
      <w:r>
        <w:rPr>
          <w:rFonts w:ascii="Calibri" w:hAnsi="Calibri"/>
          <w:b/>
          <w:color w:val="007A87"/>
          <w:sz w:val="28"/>
        </w:rPr>
        <w:t>3.1 Frikë zero — pa ndryshime në sistemet ekzistuese</w:t>
      </w:r>
    </w:p>
    <w:p>
      <w:pPr>
        <w:spacing w:after="80" w:before="0"/>
      </w:pPr>
      <w:r>
        <w:rPr>
          <w:rFonts w:ascii="Calibri" w:hAnsi="Calibri"/>
          <w:b w:val="0"/>
          <w:i w:val="0"/>
          <w:sz w:val="21"/>
        </w:rPr>
        <w:t>Veçoria më e rëndësishme operative: TBI-i nuk kërkon shkatërrim ose modifikim të asnjë infrastrukture ekzistuese financiare, bankare, mirëqenieje apo monetare. Është instrument plotësisht shtesë, paralel.</w:t>
      </w:r>
    </w:p>
    <w:p>
      <w:pPr>
        <w:pStyle w:val="ListBullet"/>
        <w:spacing w:after="60" w:before="20"/>
        <w:ind w:left="454"/>
      </w:pPr>
      <w:r>
        <w:rPr>
          <w:rFonts w:ascii="Calibri" w:hAnsi="Calibri"/>
          <w:sz w:val="21"/>
        </w:rPr>
        <w:t>Sistemet ekzistuese të bankës qendrore vazhdojnë të pandryshuara</w:t>
      </w:r>
    </w:p>
    <w:p>
      <w:pPr>
        <w:pStyle w:val="ListBullet"/>
        <w:spacing w:after="60" w:before="20"/>
        <w:ind w:left="454"/>
      </w:pPr>
      <w:r>
        <w:rPr>
          <w:rFonts w:ascii="Calibri" w:hAnsi="Calibri"/>
          <w:sz w:val="21"/>
        </w:rPr>
        <w:t>Sistemet aktuale të mirëqenies dhe pensioneve mbeten të paprekura</w:t>
      </w:r>
    </w:p>
    <w:p>
      <w:pPr>
        <w:pStyle w:val="ListBullet"/>
        <w:spacing w:after="60" w:before="20"/>
        <w:ind w:left="454"/>
      </w:pPr>
      <w:r>
        <w:rPr>
          <w:rFonts w:ascii="Calibri" w:hAnsi="Calibri"/>
          <w:sz w:val="21"/>
        </w:rPr>
        <w:t>Kodet ekzistuese tatimore mbeten — shtohet vetëm një taksë e re automatizimi</w:t>
      </w:r>
    </w:p>
    <w:p>
      <w:pPr>
        <w:pStyle w:val="ListBullet"/>
        <w:spacing w:after="60" w:before="20"/>
        <w:ind w:left="454"/>
      </w:pPr>
      <w:r>
        <w:rPr>
          <w:rFonts w:ascii="Calibri" w:hAnsi="Calibri"/>
          <w:sz w:val="21"/>
        </w:rPr>
        <w:t>Pa birokraci të re: instrumenti është regjistër dixhital avancimesh dhe oraresh ripagimi</w:t>
      </w:r>
    </w:p>
    <w:p>
      <w:pPr>
        <w:spacing w:after="160" w:before="0"/>
      </w:pPr>
      <w:r>
        <w:rPr>
          <w:rFonts w:ascii="Calibri" w:hAnsi="Calibri"/>
          <w:b w:val="0"/>
          <w:i w:val="0"/>
          <w:sz w:val="21"/>
        </w:rPr>
        <w:t>Implementimi kërkon vetëm: libër dixhital i dedikuar, API verifikimi përshtatshmërie dhe llogari thesari e izoluar. Kjo është operacionalisht ekuivalente me menaxhimin e një programi kredie studentore — diçka që shumica e qeverive e bëjnë tashmë.</w:t>
      </w:r>
    </w:p>
    <w:p>
      <w:pPr>
        <w:spacing w:before="240" w:after="120"/>
        <w:jc w:val="left"/>
      </w:pPr>
      <w:r>
        <w:rPr>
          <w:rFonts w:ascii="Calibri" w:hAnsi="Calibri"/>
          <w:b/>
          <w:color w:val="007A87"/>
          <w:sz w:val="28"/>
        </w:rPr>
        <w:t>3.2 Neutral ndaj inflacionit sipas dizajnit</w:t>
      </w:r>
    </w:p>
    <w:p>
      <w:pPr>
        <w:spacing w:after="120" w:before="0"/>
      </w:pPr>
      <w:r>
        <w:rPr>
          <w:rFonts w:ascii="Calibri" w:hAnsi="Calibri"/>
          <w:b w:val="0"/>
          <w:i w:val="0"/>
          <w:sz w:val="21"/>
        </w:rPr>
        <w:t>Kritika standarde e çdo programi transferimi parash është inflacioni. TBI-i e neutralizon duke siguruar që çdo njësi kapitali të avancuar mbështetet nga prodhimi real i matshëm i automatizimit.</w:t>
      </w:r>
    </w:p>
    <w:tbl>
      <w:tblPr>
        <w:tblW w:type="auto" w:w="0"/>
        <w:tblLook w:firstColumn="1" w:firstRow="1" w:lastColumn="0" w:lastRow="0" w:noHBand="0" w:noVBand="1" w:val="04A0"/>
      </w:tblPr>
      <w:tblGrid>
        <w:gridCol w:w="9066"/>
      </w:tblGrid>
      <w:tr>
        <w:tc>
          <w:tcPr>
            <w:tcW w:type="dxa" w:w="9066"/>
            <w:shd w:val="clear" w:color="auto" w:fill="E8F4F7"/>
          </w:tcPr>
          <w:p>
            <w:pPr>
              <w:spacing w:before="120" w:after="120"/>
              <w:ind w:left="170"/>
            </w:pPr>
            <w:r>
              <w:rPr>
                <w:rFonts w:ascii="Calibri" w:hAnsi="Calibri"/>
                <w:i/>
                <w:color w:val="1A375E"/>
                <w:sz w:val="21"/>
              </w:rPr>
              <w:t>Teoria e sasisë së parave: Inflacioni = Rritja e parave - Rritja e prodhimit. Sepse kapitali TB lëshohet proporcionalisht me rritjen e prodhimit të automatizimit, ΔM dhe ΔY shkallëzohen së bashku — duke e drejtuar inflacionin afërsisht në zero. Simulimi konfirmoi: inflacioni mesatar TB 0,53%/vit kundrejt 1,02%/vit në bazë.</w:t>
            </w:r>
          </w:p>
        </w:tc>
      </w:tr>
    </w:tbl>
    <w:p>
      <w:pPr>
        <w:spacing w:after="80"/>
      </w:pPr>
    </w:p>
    <w:p>
      <w:pPr>
        <w:spacing w:before="240" w:after="120"/>
        <w:jc w:val="left"/>
      </w:pPr>
      <w:r>
        <w:rPr>
          <w:rFonts w:ascii="Calibri" w:hAnsi="Calibri"/>
          <w:b/>
          <w:color w:val="007A87"/>
          <w:sz w:val="28"/>
        </w:rPr>
        <w:t>3.3 Fond vetëmbajtës</w:t>
      </w:r>
    </w:p>
    <w:p>
      <w:pPr>
        <w:spacing w:after="80" w:before="0"/>
      </w:pPr>
      <w:r>
        <w:rPr>
          <w:rFonts w:ascii="Calibri" w:hAnsi="Calibri"/>
          <w:b w:val="0"/>
          <w:i w:val="0"/>
          <w:sz w:val="21"/>
        </w:rPr>
        <w:t>Ndryshe nga mirëqeniaja (që kërkon financim të përhershëm qeveritar) ose UBI (që kërkon taksim gjithnjë e në rritje), fondi TB është vetëfinancues përmes dy rrymave përforcuese:</w:t>
      </w:r>
    </w:p>
    <w:p>
      <w:pPr>
        <w:pStyle w:val="ListBullet"/>
        <w:spacing w:after="60" w:before="20"/>
        <w:ind w:left="454"/>
      </w:pPr>
      <w:r>
        <w:rPr>
          <w:rFonts w:ascii="Calibri" w:hAnsi="Calibri"/>
          <w:b/>
          <w:sz w:val="21"/>
        </w:rPr>
        <w:t xml:space="preserve">Stream 1: </w:t>
      </w:r>
      <w:r>
        <w:rPr>
          <w:rFonts w:ascii="Calibri" w:hAnsi="Calibri"/>
          <w:sz w:val="21"/>
        </w:rPr>
        <w:t>Të ardhurat nga taksa e automatizimit</w:t>
      </w:r>
    </w:p>
    <w:p>
      <w:pPr>
        <w:pStyle w:val="ListBullet"/>
        <w:spacing w:after="60" w:before="20"/>
        <w:ind w:left="454"/>
      </w:pPr>
      <w:r>
        <w:rPr>
          <w:rFonts w:ascii="Calibri" w:hAnsi="Calibri"/>
          <w:b/>
          <w:sz w:val="21"/>
        </w:rPr>
        <w:t xml:space="preserve">Stream 2: </w:t>
      </w:r>
      <w:r>
        <w:rPr>
          <w:rFonts w:ascii="Calibri" w:hAnsi="Calibri"/>
          <w:sz w:val="21"/>
        </w:rPr>
        <w:t>Ripagimet e qytetarëve (kryesorja kthehet në fond me kosto 0%)</w:t>
      </w:r>
    </w:p>
    <w:p>
      <w:pPr>
        <w:spacing w:after="160" w:before="0"/>
      </w:pPr>
      <w:r>
        <w:rPr>
          <w:rFonts w:ascii="Calibri" w:hAnsi="Calibri"/>
          <w:b w:val="0"/>
          <w:i w:val="0"/>
          <w:sz w:val="21"/>
        </w:rPr>
        <w:t>Simulimi tregoi fondin TB duke u rritur nga 132 në 2.809 njësi në 25 vjet — rritje 20-fish — pa kërkuar subvencion shtesë qeveritar.</w:t>
      </w:r>
    </w:p>
    <w:p>
      <w:pPr>
        <w:spacing w:before="240" w:after="120"/>
        <w:jc w:val="left"/>
      </w:pPr>
      <w:r>
        <w:rPr>
          <w:rFonts w:ascii="Calibri" w:hAnsi="Calibri"/>
          <w:b/>
          <w:color w:val="007A87"/>
          <w:sz w:val="28"/>
        </w:rPr>
        <w:t>3.4 Përshpejtimi i PBB-së dhe fitimet e produktivitetit</w:t>
      </w:r>
    </w:p>
    <w:p>
      <w:pPr>
        <w:spacing w:after="80" w:before="0"/>
      </w:pPr>
      <w:r>
        <w:rPr>
          <w:rFonts w:ascii="Calibri" w:hAnsi="Calibri"/>
          <w:b w:val="0"/>
          <w:i w:val="0"/>
          <w:sz w:val="21"/>
        </w:rPr>
        <w:t>Kapitali TB, kur përdoret për arsim ose krijim biznesi, krijon shumëzues produktiviteti që tejkalon ndjeshëm rritjen bazë:</w:t>
      </w:r>
    </w:p>
    <w:p>
      <w:pPr>
        <w:pStyle w:val="ListBullet"/>
        <w:spacing w:after="60" w:before="20"/>
        <w:ind w:left="454"/>
      </w:pPr>
      <w:r>
        <w:rPr>
          <w:rFonts w:ascii="Calibri" w:hAnsi="Calibri"/>
          <w:sz w:val="21"/>
        </w:rPr>
        <w:t>Arsimi i financuar nga TB: shkalla 65% përfundimi → punëtorët FreeOne hyjnë në fuqi punëtore të kualifikuar</w:t>
      </w:r>
    </w:p>
    <w:p>
      <w:pPr>
        <w:pStyle w:val="ListBullet"/>
        <w:spacing w:after="60" w:before="20"/>
        <w:ind w:left="454"/>
      </w:pPr>
      <w:r>
        <w:rPr>
          <w:rFonts w:ascii="Calibri" w:hAnsi="Calibri"/>
          <w:sz w:val="21"/>
        </w:rPr>
        <w:t>Sipërmarrja e financuar nga TB: shkalla 40% mbijetese startup → biznese të reja me vlerë të shtuar</w:t>
      </w:r>
    </w:p>
    <w:p>
      <w:pPr>
        <w:pStyle w:val="ListBullet"/>
        <w:spacing w:after="60" w:before="20"/>
        <w:ind w:left="454"/>
      </w:pPr>
      <w:r>
        <w:rPr>
          <w:rFonts w:ascii="Calibri" w:hAnsi="Calibri"/>
          <w:sz w:val="21"/>
        </w:rPr>
        <w:t>Çdo prodhues i ri gjeneron tatim të të ardhurave, TVSH dhe kontribute CIT</w:t>
      </w:r>
    </w:p>
    <w:p>
      <w:pPr>
        <w:pStyle w:val="ListBullet"/>
        <w:spacing w:after="60" w:before="20"/>
        <w:ind w:left="454"/>
      </w:pPr>
      <w:r>
        <w:rPr>
          <w:rFonts w:ascii="Calibri" w:hAnsi="Calibri"/>
          <w:sz w:val="21"/>
        </w:rPr>
        <w:t>Spillover-i i kapitalit njerëzor (Moretti 2004) shton 30% kthim social shtesë mbi arsimin</w:t>
      </w:r>
    </w:p>
    <w:p>
      <w:pPr>
        <w:spacing w:after="160" w:before="0"/>
      </w:pPr>
      <w:r>
        <w:rPr>
          <w:rFonts w:ascii="Calibri" w:hAnsi="Calibri"/>
          <w:b w:val="0"/>
          <w:i w:val="0"/>
          <w:sz w:val="21"/>
        </w:rPr>
        <w:t>Rezultati neto: PBB u rrit 59% më shumë se baza në 25 vjet, me CAGR 5,86%/vit kundrejt 3,87%/vit në modelin aktual të ekonomisë.</w:t>
      </w:r>
    </w:p>
    <w:p>
      <w:pPr>
        <w:spacing w:before="240" w:after="120"/>
        <w:jc w:val="left"/>
      </w:pPr>
      <w:r>
        <w:rPr>
          <w:rFonts w:ascii="Calibri" w:hAnsi="Calibri"/>
          <w:b/>
          <w:color w:val="007A87"/>
          <w:sz w:val="28"/>
        </w:rPr>
        <w:t>3.5 Reduktim pabarazie pa politikë rishpërndarjeje</w:t>
      </w:r>
    </w:p>
    <w:p>
      <w:pPr>
        <w:spacing w:after="80" w:before="0"/>
      </w:pPr>
      <w:r>
        <w:rPr>
          <w:rFonts w:ascii="Calibri" w:hAnsi="Calibri"/>
          <w:b w:val="0"/>
          <w:i w:val="0"/>
          <w:sz w:val="21"/>
        </w:rPr>
        <w:t>Sepse TB është i ripagueshëm dhe i lidhur me produktivitetin, shmang kornizën politike të 'rishpërndarjes'. Nuk merr nga prodhuesit për t'u dhënë jo-prodhuesve. I jep çdo qytetari qasje në kapitalin që automatizimi — jo qytetarët e tjerë — ka gjeneruar.</w:t>
      </w:r>
    </w:p>
    <w:p>
      <w:pPr>
        <w:pStyle w:val="ListBullet"/>
        <w:spacing w:after="60" w:before="20"/>
        <w:ind w:left="454"/>
      </w:pPr>
      <w:r>
        <w:rPr>
          <w:rFonts w:ascii="Calibri" w:hAnsi="Calibri"/>
          <w:sz w:val="21"/>
        </w:rPr>
        <w:t>Koeficienti Gini ra nga 0,358 në 0,323 (përmirësim 9,8%) në 25 vjet</w:t>
      </w:r>
    </w:p>
    <w:p>
      <w:pPr>
        <w:pStyle w:val="ListBullet"/>
        <w:spacing w:after="60" w:before="20"/>
        <w:ind w:left="454"/>
      </w:pPr>
      <w:r>
        <w:rPr>
          <w:rFonts w:ascii="Calibri" w:hAnsi="Calibri"/>
          <w:sz w:val="21"/>
        </w:rPr>
        <w:t>Punëtorët FreeOne shndërrohen në Prodhues përmes arsimit dhe sipërmarrjes</w:t>
      </w:r>
    </w:p>
    <w:p>
      <w:pPr>
        <w:pStyle w:val="ListBullet"/>
        <w:spacing w:after="60" w:before="20"/>
        <w:ind w:left="454"/>
      </w:pPr>
      <w:r>
        <w:rPr>
          <w:rFonts w:ascii="Calibri" w:hAnsi="Calibri"/>
          <w:sz w:val="21"/>
        </w:rPr>
        <w:t>Mobiliteti social rikthehet: mundësia e huazimit është e barabartë, pavarësisht pasurisë fillestare</w:t>
      </w:r>
    </w:p>
    <w:p>
      <w:pPr>
        <w:spacing w:after="160" w:before="0"/>
      </w:pPr>
      <w:r>
        <w:rPr>
          <w:rFonts w:ascii="Calibri" w:hAnsi="Calibri"/>
          <w:b w:val="0"/>
          <w:i w:val="0"/>
          <w:sz w:val="21"/>
        </w:rPr>
      </w:r>
    </w:p>
    <w:p>
      <w:pPr>
        <w:spacing w:before="240" w:after="120"/>
        <w:jc w:val="left"/>
      </w:pPr>
      <w:r>
        <w:rPr>
          <w:rFonts w:ascii="Calibri" w:hAnsi="Calibri"/>
          <w:b/>
          <w:color w:val="007A87"/>
          <w:sz w:val="28"/>
        </w:rPr>
        <w:t>3.6 Pa borxh të ri, pa rritje taksash për qytetarët</w:t>
      </w:r>
    </w:p>
    <w:p>
      <w:pPr>
        <w:spacing w:after="80" w:before="0"/>
      </w:pPr>
      <w:r>
        <w:rPr>
          <w:rFonts w:ascii="Calibri" w:hAnsi="Calibri"/>
          <w:b w:val="0"/>
          <w:i w:val="0"/>
          <w:sz w:val="21"/>
        </w:rPr>
        <w:t>Instrumenti financohet plotësisht nga Taksa e Automatizimit dhe AI — mbi përdoruesit korporativë të AI dhe sistemeve të automatizimit, jo mbi punëtorët apo konsumatorët individualë. Kjo është taksë mbi makinat që zëvendësojnë njerëzit, e drejtuar drejtpërdrejt te njerëzit që zëvendësojnë.</w:t>
      </w:r>
    </w:p>
    <w:p>
      <w:pPr>
        <w:pStyle w:val="ListBullet"/>
        <w:spacing w:after="60" w:before="20"/>
        <w:ind w:left="454"/>
      </w:pPr>
      <w:r>
        <w:rPr>
          <w:rFonts w:ascii="Calibri" w:hAnsi="Calibri"/>
          <w:sz w:val="21"/>
        </w:rPr>
        <w:t>Nuk kërkohen rritje të taksës së të ardhurave</w:t>
      </w:r>
    </w:p>
    <w:p>
      <w:pPr>
        <w:pStyle w:val="ListBullet"/>
        <w:spacing w:after="60" w:before="20"/>
        <w:ind w:left="454"/>
      </w:pPr>
      <w:r>
        <w:rPr>
          <w:rFonts w:ascii="Calibri" w:hAnsi="Calibri"/>
          <w:sz w:val="21"/>
        </w:rPr>
        <w:t>Nuk kërkohet zgjerim i borxhit kombëtar</w:t>
      </w:r>
    </w:p>
    <w:p>
      <w:pPr>
        <w:pStyle w:val="ListBullet"/>
        <w:spacing w:after="60" w:before="20"/>
        <w:ind w:left="454"/>
      </w:pPr>
      <w:r>
        <w:rPr>
          <w:rFonts w:ascii="Calibri" w:hAnsi="Calibri"/>
          <w:sz w:val="21"/>
        </w:rPr>
        <w:t>Pa krijim krediti bankar (pa rrezik rezerve fraksionale)</w:t>
      </w:r>
    </w:p>
    <w:p>
      <w:pPr>
        <w:spacing w:after="160" w:before="0"/>
      </w:pPr>
      <w:r>
        <w:rPr>
          <w:rFonts w:ascii="Calibri" w:hAnsi="Calibri"/>
          <w:b w:val="0"/>
          <w:i w:val="0"/>
          <w:sz w:val="21"/>
        </w:rPr>
      </w:r>
    </w:p>
    <w:p>
      <w:pPr>
        <w:spacing w:before="240" w:after="120"/>
        <w:jc w:val="left"/>
      </w:pPr>
      <w:r>
        <w:rPr>
          <w:rFonts w:ascii="Calibri" w:hAnsi="Calibri"/>
          <w:b/>
          <w:color w:val="007A87"/>
          <w:sz w:val="28"/>
        </w:rPr>
        <w:t>3.7 Avantazhet e kornizës politike dhe etike</w:t>
      </w:r>
    </w:p>
    <w:p>
      <w:pPr>
        <w:spacing w:after="80" w:before="0"/>
      </w:pPr>
      <w:r>
        <w:rPr>
          <w:rFonts w:ascii="Calibri" w:hAnsi="Calibri"/>
          <w:b w:val="0"/>
          <w:i w:val="0"/>
          <w:sz w:val="21"/>
        </w:rPr>
        <w:t>TBI-i anashkalon betejat më të kontestuara politike në reformën e mirëqenies:</w:t>
      </w:r>
    </w:p>
    <w:p>
      <w:pPr>
        <w:pStyle w:val="ListBullet"/>
        <w:spacing w:after="60" w:before="20"/>
        <w:ind w:left="454"/>
      </w:pPr>
      <w:r>
        <w:rPr>
          <w:rFonts w:ascii="Calibri" w:hAnsi="Calibri"/>
          <w:sz w:val="21"/>
        </w:rPr>
        <w:t>Nuk është dhuratë — është e ripagueshme, duke ruajtur dinjitetin dhe agjencinë</w:t>
      </w:r>
    </w:p>
    <w:p>
      <w:pPr>
        <w:pStyle w:val="ListBullet"/>
        <w:spacing w:after="60" w:before="20"/>
        <w:ind w:left="454"/>
      </w:pPr>
      <w:r>
        <w:rPr>
          <w:rFonts w:ascii="Calibri" w:hAnsi="Calibri"/>
          <w:sz w:val="21"/>
        </w:rPr>
        <w:t>Nuk është ideologjikisht majtas apo djathtas — është instrument i përputhshëm me tregun, me përgjigje meritës</w:t>
      </w:r>
    </w:p>
    <w:p>
      <w:pPr>
        <w:pStyle w:val="ListBullet"/>
        <w:spacing w:after="60" w:before="20"/>
        <w:ind w:left="454"/>
      </w:pPr>
      <w:r>
        <w:rPr>
          <w:rFonts w:ascii="Calibri" w:hAnsi="Calibri"/>
          <w:sz w:val="21"/>
        </w:rPr>
        <w:t>Adreson drejtpërdrejt narrativën e zhvendosjes nga automatizimi që tashmë është politike dominuese</w:t>
      </w:r>
    </w:p>
    <w:p>
      <w:pPr>
        <w:pStyle w:val="ListBullet"/>
        <w:spacing w:after="60" w:before="20"/>
        <w:ind w:left="454"/>
      </w:pPr>
      <w:r>
        <w:rPr>
          <w:rFonts w:ascii="Calibri" w:hAnsi="Calibri"/>
          <w:sz w:val="21"/>
        </w:rPr>
        <w:t>E kthen AI nga narrativa e kërcënimit në narrativë zgjidhjeje financimi</w:t>
      </w:r>
    </w:p>
    <w:p>
      <w:pPr>
        <w:pStyle w:val="ListBullet"/>
        <w:spacing w:after="60" w:before="20"/>
        <w:ind w:left="454"/>
      </w:pPr>
      <w:r>
        <w:rPr>
          <w:rFonts w:ascii="Calibri" w:hAnsi="Calibri"/>
          <w:sz w:val="21"/>
        </w:rPr>
        <w:t>Ndërton besimin e qytetarëve: fondi është i izoluar dhe transparent</w:t>
      </w:r>
    </w:p>
    <w:p>
      <w:r>
        <w:br w:type="page"/>
      </w:r>
    </w:p>
    <w:p>
      <w:pPr>
        <w:spacing w:before="240" w:after="120"/>
        <w:jc w:val="left"/>
      </w:pPr>
      <w:r>
        <w:rPr>
          <w:rFonts w:ascii="Calibri" w:hAnsi="Calibri"/>
          <w:b/>
          <w:color w:val="1A375E"/>
          <w:sz w:val="36"/>
        </w:rPr>
        <w:t>4. Disavantazhet dhe rreziqet</w:t>
      </w:r>
    </w:p>
    <w:p>
      <w:pPr>
        <w:spacing w:before="80" w:after="80"/>
        <w:pBdr>
          <w:bottom w:val="single" w:sz="6" w:space="1" w:color="007A87"/>
        </w:pBdr>
      </w:pPr>
    </w:p>
    <w:p>
      <w:pPr>
        <w:spacing w:after="160" w:before="0"/>
      </w:pPr>
      <w:r>
        <w:rPr>
          <w:rFonts w:ascii="Calibri" w:hAnsi="Calibri"/>
          <w:b w:val="0"/>
          <w:i w:val="0"/>
          <w:sz w:val="21"/>
        </w:rPr>
        <w:t>Ndershmëria intelektuale kërkon të pranojmë sfidat dhe rreziqet e vërteta të lidhura me Instrumentin e Huazimit të Kohës. Më poshtë identifikohen nga korniza teorike dhe modelimi i simulimit.</w:t>
      </w:r>
    </w:p>
    <w:p>
      <w:pPr>
        <w:spacing w:before="240" w:after="120"/>
        <w:jc w:val="left"/>
      </w:pPr>
      <w:r>
        <w:rPr>
          <w:rFonts w:ascii="Calibri" w:hAnsi="Calibri"/>
          <w:b/>
          <w:color w:val="C05010"/>
          <w:sz w:val="28"/>
        </w:rPr>
        <w:t>4.1 Rreziku politik: rezistenca ndaj taksës së automatizimit</w:t>
      </w:r>
    </w:p>
    <w:p>
      <w:pPr>
        <w:spacing w:after="80" w:before="0"/>
      </w:pPr>
      <w:r>
        <w:rPr>
          <w:rFonts w:ascii="Calibri" w:hAnsi="Calibri"/>
          <w:b w:val="0"/>
          <w:i w:val="0"/>
          <w:sz w:val="21"/>
        </w:rPr>
        <w:t>TBI-i varet plotësisht nga mekanizmi kryesor i financimit — një taksë mbi prodhimin e AI dhe automatizimit. Korporatat e mëdha teknologjike do ta rezistojnë. Presioni i lobimit mund të:</w:t>
      </w:r>
    </w:p>
    <w:p>
      <w:pPr>
        <w:pStyle w:val="ListBullet"/>
        <w:spacing w:after="60" w:before="20"/>
        <w:ind w:left="454"/>
      </w:pPr>
      <w:r>
        <w:rPr>
          <w:rFonts w:ascii="Calibri" w:hAnsi="Calibri"/>
          <w:sz w:val="21"/>
        </w:rPr>
        <w:t>Parandalon që taksa të miratohet me normë kuptimplotë</w:t>
      </w:r>
    </w:p>
    <w:p>
      <w:pPr>
        <w:pStyle w:val="ListBullet"/>
        <w:spacing w:after="60" w:before="20"/>
        <w:ind w:left="454"/>
      </w:pPr>
      <w:r>
        <w:rPr>
          <w:rFonts w:ascii="Calibri" w:hAnsi="Calibri"/>
          <w:sz w:val="21"/>
        </w:rPr>
        <w:t>Drejto automatizimin jashtë vendeve pa taksë</w:t>
      </w:r>
    </w:p>
    <w:p>
      <w:pPr>
        <w:pStyle w:val="ListBullet"/>
        <w:spacing w:after="60" w:before="20"/>
        <w:ind w:left="454"/>
      </w:pPr>
      <w:r>
        <w:rPr>
          <w:rFonts w:ascii="Calibri" w:hAnsi="Calibri"/>
          <w:sz w:val="21"/>
        </w:rPr>
        <w:t>Çojnë në sfida ligjore rreth përcaktimit dhe matjes së 'vlerës së prodhimit të automatizimit'</w:t>
      </w:r>
    </w:p>
    <w:p>
      <w:pPr>
        <w:spacing w:after="80" w:before="0"/>
      </w:pPr>
      <w:r>
        <w:rPr>
          <w:rFonts w:ascii="Calibri" w:hAnsi="Calibri"/>
          <w:b w:val="0"/>
          <w:i/>
          <w:color w:val="1A7A4A"/>
          <w:sz w:val="21"/>
        </w:rPr>
        <w:t>Zbutja: Filloni me normë të ulët (5%) për të ndërtuar infrastrukturë dhe konsensus politik para shkallëzimit në 15% synuar. Koordinimi ndërkombëtar përmes kornizave OECD (i ngjashëm me taksën minimale globale korporative) do të parandalonte arbitrazhin rregullator.</w:t>
      </w:r>
    </w:p>
    <w:p>
      <w:pPr>
        <w:spacing w:after="160" w:before="0"/>
      </w:pPr>
      <w:r>
        <w:rPr>
          <w:rFonts w:ascii="Calibri" w:hAnsi="Calibri"/>
          <w:b w:val="0"/>
          <w:i w:val="0"/>
          <w:sz w:val="21"/>
        </w:rPr>
      </w:r>
    </w:p>
    <w:p>
      <w:pPr>
        <w:spacing w:before="240" w:after="120"/>
        <w:jc w:val="left"/>
      </w:pPr>
      <w:r>
        <w:rPr>
          <w:rFonts w:ascii="Calibri" w:hAnsi="Calibri"/>
          <w:b/>
          <w:color w:val="C05010"/>
          <w:sz w:val="28"/>
        </w:rPr>
        <w:t>4.2 Rreziku operacional: përcaktimi i 'Kohës së ardhshme' si kolateral</w:t>
      </w:r>
    </w:p>
    <w:p>
      <w:pPr>
        <w:spacing w:after="80" w:before="0"/>
      </w:pPr>
      <w:r>
        <w:rPr>
          <w:rFonts w:ascii="Calibri" w:hAnsi="Calibri"/>
          <w:b w:val="0"/>
          <w:i w:val="0"/>
          <w:sz w:val="21"/>
        </w:rPr>
        <w:t>Ndryshe nga kolaterali financiar, 'koha dhe kontributi i ardhshëm' nuk mund të konfiskohen nëse huamarrësi mospagon. Mekanizmi i vetëm i egzekutimit është përjashtimi nga sistemi (ngrirja TDRW), jo-dënues në terma financiarë.</w:t>
      </w:r>
    </w:p>
    <w:p>
      <w:pPr>
        <w:pStyle w:val="ListBullet"/>
        <w:spacing w:after="60" w:before="20"/>
        <w:ind w:left="454"/>
      </w:pPr>
      <w:r>
        <w:rPr>
          <w:rFonts w:ascii="Calibri" w:hAnsi="Calibri"/>
          <w:sz w:val="21"/>
        </w:rPr>
        <w:t>Qytetarët me të ardhme ekonomike shumë të kufizuara (sëmundje e rëndë, gjendje terminale) mund të mospagojnë pa kapacitet ripagimi</w:t>
      </w:r>
    </w:p>
    <w:p>
      <w:pPr>
        <w:pStyle w:val="ListBullet"/>
        <w:spacing w:after="60" w:before="20"/>
        <w:ind w:left="454"/>
      </w:pPr>
      <w:r>
        <w:rPr>
          <w:rFonts w:ascii="Calibri" w:hAnsi="Calibri"/>
          <w:sz w:val="21"/>
        </w:rPr>
        <w:t>Ngrirja TDRW nuk ka ndikim te individët që nuk duan të ri-huazojnë</w:t>
      </w:r>
    </w:p>
    <w:p>
      <w:pPr>
        <w:pStyle w:val="ListBullet"/>
        <w:spacing w:after="60" w:before="20"/>
        <w:ind w:left="454"/>
      </w:pPr>
      <w:r>
        <w:rPr>
          <w:rFonts w:ascii="Calibri" w:hAnsi="Calibri"/>
          <w:sz w:val="21"/>
        </w:rPr>
        <w:t>Mos-pjesëmarrja e strukturuar shoqërore nuk mund të parandalohet — duhet menaxhuar</w:t>
      </w:r>
    </w:p>
    <w:p>
      <w:pPr>
        <w:spacing w:after="80" w:before="0"/>
      </w:pPr>
      <w:r>
        <w:rPr>
          <w:rFonts w:ascii="Calibri" w:hAnsi="Calibri"/>
          <w:b w:val="0"/>
          <w:i/>
          <w:color w:val="1A7A4A"/>
          <w:sz w:val="21"/>
        </w:rPr>
        <w:t>Zbutja: Fondi është strukturuar për të absorbuar shkallë humbjeje deri në 30% pa bërë insolvent (simulimi testuar me 5% humbje; fondi mbeti solvent me rritje 20×). Të ardhurat nga taksa e automatizimit ofrojnë buffer rimbushjeje të vazhdueshme.</w:t>
      </w:r>
    </w:p>
    <w:p>
      <w:pPr>
        <w:spacing w:after="160" w:before="0"/>
      </w:pPr>
      <w:r>
        <w:rPr>
          <w:rFonts w:ascii="Calibri" w:hAnsi="Calibri"/>
          <w:b w:val="0"/>
          <w:i w:val="0"/>
          <w:sz w:val="21"/>
        </w:rPr>
      </w:r>
    </w:p>
    <w:p>
      <w:pPr>
        <w:spacing w:before="240" w:after="120"/>
        <w:jc w:val="left"/>
      </w:pPr>
      <w:r>
        <w:rPr>
          <w:rFonts w:ascii="Calibri" w:hAnsi="Calibri"/>
          <w:b/>
          <w:color w:val="C05010"/>
          <w:sz w:val="28"/>
        </w:rPr>
        <w:t>4.3 Rreziku i matjes: vlerësimi i prodhimit të automatizimit</w:t>
      </w:r>
    </w:p>
    <w:p>
      <w:pPr>
        <w:spacing w:after="80" w:before="0"/>
      </w:pPr>
      <w:r>
        <w:rPr>
          <w:rFonts w:ascii="Calibri" w:hAnsi="Calibri"/>
          <w:b w:val="0"/>
          <w:i w:val="0"/>
          <w:sz w:val="21"/>
        </w:rPr>
        <w:t>Baza kryesore tatimore — vlera e prodhimit të sistemeve AI dhe automatizimi — është territor i ri për autoritetet tatimore. Standardet aktuale kontabël nuk matin 'prodhimin e llogaritjes' ose 'punën e bërë nga AI' si njësi tatimore diskrete.</w:t>
      </w:r>
    </w:p>
    <w:p>
      <w:pPr>
        <w:pStyle w:val="ListBullet"/>
        <w:spacing w:after="60" w:before="20"/>
        <w:ind w:left="454"/>
      </w:pPr>
      <w:r>
        <w:rPr>
          <w:rFonts w:ascii="Calibri" w:hAnsi="Calibri"/>
          <w:sz w:val="21"/>
        </w:rPr>
        <w:t>Mosmarrëveshjet e çmimeve të transferimit mund të lindin në korporata shumëkombëtare</w:t>
      </w:r>
    </w:p>
    <w:p>
      <w:pPr>
        <w:pStyle w:val="ListBullet"/>
        <w:spacing w:after="60" w:before="20"/>
        <w:ind w:left="454"/>
      </w:pPr>
      <w:r>
        <w:rPr>
          <w:rFonts w:ascii="Calibri" w:hAnsi="Calibri"/>
          <w:sz w:val="21"/>
        </w:rPr>
        <w:t>Puna njerëzore e augmentuar me AI kundrejt punës vetëm-AI është e vështirë për t'u ndarë</w:t>
      </w:r>
    </w:p>
    <w:p>
      <w:pPr>
        <w:pStyle w:val="ListBullet"/>
        <w:spacing w:after="60" w:before="20"/>
        <w:ind w:left="454"/>
      </w:pPr>
      <w:r>
        <w:rPr>
          <w:rFonts w:ascii="Calibri" w:hAnsi="Calibri"/>
          <w:sz w:val="21"/>
        </w:rPr>
        <w:t>Matja e prodhimit në sektorë jo-prodhues (shërbime, industri kreative) është komplekse</w:t>
      </w:r>
    </w:p>
    <w:p>
      <w:pPr>
        <w:spacing w:after="80" w:before="0"/>
      </w:pPr>
      <w:r>
        <w:rPr>
          <w:rFonts w:ascii="Calibri" w:hAnsi="Calibri"/>
          <w:b w:val="0"/>
          <w:i/>
          <w:color w:val="1A7A4A"/>
          <w:sz w:val="21"/>
        </w:rPr>
        <w:t>Zbutja: Implementimi fillestar mund të përdorë metrikë proxy (p.sh. shpenzime llogaritjeje AI korporative, ose kursime kostoje nga automatizimi kundrejt kostos së mëparshme të punës). Jo perfekt por i zbatueshëm që nga dita e parë.</w:t>
      </w:r>
    </w:p>
    <w:p>
      <w:pPr>
        <w:spacing w:after="160" w:before="0"/>
      </w:pPr>
      <w:r>
        <w:rPr>
          <w:rFonts w:ascii="Calibri" w:hAnsi="Calibri"/>
          <w:b w:val="0"/>
          <w:i w:val="0"/>
          <w:sz w:val="21"/>
        </w:rPr>
      </w:r>
    </w:p>
    <w:p>
      <w:pPr>
        <w:spacing w:before="240" w:after="120"/>
        <w:jc w:val="left"/>
      </w:pPr>
      <w:r>
        <w:rPr>
          <w:rFonts w:ascii="Calibri" w:hAnsi="Calibri"/>
          <w:b/>
          <w:color w:val="C05010"/>
          <w:sz w:val="28"/>
        </w:rPr>
        <w:t>4.4 Rreziku social: rreziku moral dhe manipulimi</w:t>
      </w:r>
    </w:p>
    <w:p>
      <w:pPr>
        <w:spacing w:after="80" w:before="0"/>
      </w:pPr>
      <w:r>
        <w:rPr>
          <w:rFonts w:ascii="Calibri" w:hAnsi="Calibri"/>
          <w:b w:val="0"/>
          <w:i w:val="0"/>
          <w:sz w:val="21"/>
        </w:rPr>
        <w:t>Çdo instrument universal përballet me rrezikun që disa pjesëmarrës të kërkojnë të nxjerrin vlerë pa kontribuar. Nën TBI-në:</w:t>
      </w:r>
    </w:p>
    <w:p>
      <w:pPr>
        <w:pStyle w:val="ListBullet"/>
        <w:spacing w:after="60" w:before="20"/>
        <w:ind w:left="454"/>
      </w:pPr>
      <w:r>
        <w:rPr>
          <w:rFonts w:ascii="Calibri" w:hAnsi="Calibri"/>
          <w:sz w:val="21"/>
        </w:rPr>
        <w:t>Një qytetar mund të marrë avancin maksimal dhe të mospaguajë me qëllim, duke pranuar ngrirjen</w:t>
      </w:r>
    </w:p>
    <w:p>
      <w:pPr>
        <w:pStyle w:val="ListBullet"/>
        <w:spacing w:after="60" w:before="20"/>
        <w:ind w:left="454"/>
      </w:pPr>
      <w:r>
        <w:rPr>
          <w:rFonts w:ascii="Calibri" w:hAnsi="Calibri"/>
          <w:sz w:val="21"/>
        </w:rPr>
        <w:t>Qytetarët produktivë mund të kenë neveri për financimin e pastajuesve, edhe indirekt</w:t>
      </w:r>
    </w:p>
    <w:p>
      <w:pPr>
        <w:pStyle w:val="ListBullet"/>
        <w:spacing w:after="60" w:before="20"/>
        <w:ind w:left="454"/>
      </w:pPr>
      <w:r>
        <w:rPr>
          <w:rFonts w:ascii="Calibri" w:hAnsi="Calibri"/>
          <w:sz w:val="21"/>
        </w:rPr>
        <w:t>Periudhat e përsëritura të ngrirjes nuk eliminojnë përhershëm përshtatshmërinë</w:t>
      </w:r>
    </w:p>
    <w:p>
      <w:pPr>
        <w:spacing w:after="80" w:before="0"/>
      </w:pPr>
      <w:r>
        <w:rPr>
          <w:rFonts w:ascii="Calibri" w:hAnsi="Calibri"/>
          <w:b w:val="0"/>
          <w:i/>
          <w:color w:val="1A7A4A"/>
          <w:sz w:val="21"/>
        </w:rPr>
        <w:t>Zbutja: Sistemi i eskalimit TDRW (shkeljet e përsëritura shumëzojnë kohëzgjatjen e ngrirjes) adreson drejtpërdrejt manipulimin serial. Tavani maksimal 7 vjet i ngrirjes dhe pragu 30% i ripagimit vendosin deterrent të fortë dhe proporcional. Taksa e automatizimit — jo qytetarët e tjerë — absorbojnë humbjen.</w:t>
      </w:r>
    </w:p>
    <w:p>
      <w:pPr>
        <w:spacing w:after="160" w:before="0"/>
      </w:pPr>
      <w:r>
        <w:rPr>
          <w:rFonts w:ascii="Calibri" w:hAnsi="Calibri"/>
          <w:b w:val="0"/>
          <w:i w:val="0"/>
          <w:sz w:val="21"/>
        </w:rPr>
      </w:r>
    </w:p>
    <w:p>
      <w:pPr>
        <w:spacing w:before="240" w:after="120"/>
        <w:jc w:val="left"/>
      </w:pPr>
      <w:r>
        <w:rPr>
          <w:rFonts w:ascii="Calibri" w:hAnsi="Calibri"/>
          <w:b/>
          <w:color w:val="C05010"/>
          <w:sz w:val="28"/>
        </w:rPr>
        <w:t>4.5 Rreziku makroekonomik: përqendrimi i fondit dhe goditje sistemike</w:t>
      </w:r>
    </w:p>
    <w:p>
      <w:pPr>
        <w:spacing w:after="80" w:before="0"/>
      </w:pPr>
      <w:r>
        <w:rPr>
          <w:rFonts w:ascii="Calibri" w:hAnsi="Calibri"/>
          <w:b w:val="0"/>
          <w:i w:val="0"/>
          <w:sz w:val="21"/>
        </w:rPr>
        <w:t>Nëse një recesion i madh ose stagnim teknologjik redukton prodhimin e automatizimit njëkohësisht me rritje mospagimesh, fondi mund të përballet me shtrëngim me dy presione.</w:t>
      </w:r>
    </w:p>
    <w:p>
      <w:pPr>
        <w:pStyle w:val="ListBullet"/>
        <w:spacing w:after="60" w:before="20"/>
        <w:ind w:left="454"/>
      </w:pPr>
      <w:r>
        <w:rPr>
          <w:rFonts w:ascii="Calibri" w:hAnsi="Calibri"/>
          <w:sz w:val="21"/>
        </w:rPr>
        <w:t>Testi i stresit të simulimit (goditje klimatike + mospagime më të larta) tregoi mbijetesën e fondit — por goditjet reale mund të jenë më të rënda</w:t>
      </w:r>
    </w:p>
    <w:p>
      <w:pPr>
        <w:pStyle w:val="ListBullet"/>
        <w:spacing w:after="60" w:before="20"/>
        <w:ind w:left="454"/>
      </w:pPr>
      <w:r>
        <w:rPr>
          <w:rFonts w:ascii="Calibri" w:hAnsi="Calibri"/>
          <w:sz w:val="21"/>
        </w:rPr>
        <w:t>Një 'dimër' i rëndë AI ose ndalim rregullator i automatizimit do të prekte burimin kryesor të të ardhurave</w:t>
      </w:r>
    </w:p>
    <w:p>
      <w:pPr>
        <w:spacing w:after="80" w:before="0"/>
      </w:pPr>
      <w:r>
        <w:rPr>
          <w:rFonts w:ascii="Calibri" w:hAnsi="Calibri"/>
          <w:b w:val="0"/>
          <w:i/>
          <w:color w:val="1A7A4A"/>
          <w:sz w:val="21"/>
        </w:rPr>
        <w:t>Zbutja: Dyshemeja 20% e rezervës ofron buffer. Mekanizmi qeveritar i plotësimit tatimor (R21 në model) — mbështetje përfundimtare me të ardhura të përgjithshme tatimore — ofron backstop final. Përdoret si mjet emergjence, jo financimi primar.</w:t>
      </w:r>
    </w:p>
    <w:p>
      <w:pPr>
        <w:spacing w:after="160" w:before="0"/>
      </w:pPr>
      <w:r>
        <w:rPr>
          <w:rFonts w:ascii="Calibri" w:hAnsi="Calibri"/>
          <w:b w:val="0"/>
          <w:i w:val="0"/>
          <w:sz w:val="21"/>
        </w:rPr>
      </w:r>
    </w:p>
    <w:p>
      <w:pPr>
        <w:spacing w:before="240" w:after="120"/>
        <w:jc w:val="left"/>
      </w:pPr>
      <w:r>
        <w:rPr>
          <w:rFonts w:ascii="Calibri" w:hAnsi="Calibri"/>
          <w:b/>
          <w:color w:val="C05010"/>
          <w:sz w:val="28"/>
        </w:rPr>
        <w:t>4.6 Rreziku i tranzicionit: periudha e fazës</w:t>
      </w:r>
    </w:p>
    <w:p>
      <w:pPr>
        <w:spacing w:after="80" w:before="0"/>
      </w:pPr>
      <w:r>
        <w:rPr>
          <w:rFonts w:ascii="Calibri" w:hAnsi="Calibri"/>
          <w:b w:val="0"/>
          <w:i w:val="0"/>
          <w:sz w:val="21"/>
        </w:rPr>
        <w:t>Fondi kërkon kapital fillestar para se të ardhurat e taksës së automatizimit të arrijnë shkallën operative. Në vitet e hershme (Vitet 1-3), fondi mund të jetë shumë i vogël për të shërbyer të gjithë qytetarët e përshtatshëm me shuma kuptimplote avancimi.</w:t>
      </w:r>
    </w:p>
    <w:p>
      <w:pPr>
        <w:pStyle w:val="ListBullet"/>
        <w:spacing w:after="60" w:before="20"/>
        <w:ind w:left="454"/>
      </w:pPr>
      <w:r>
        <w:rPr>
          <w:rFonts w:ascii="Calibri" w:hAnsi="Calibri"/>
          <w:sz w:val="21"/>
        </w:rPr>
        <w:t>Madhësia fillestare e fondit e kufizuar nga të ardhurat e hershme të taksës së automatizimit</w:t>
      </w:r>
    </w:p>
    <w:p>
      <w:pPr>
        <w:pStyle w:val="ListBullet"/>
        <w:spacing w:after="60" w:before="20"/>
        <w:ind w:left="454"/>
      </w:pPr>
      <w:r>
        <w:rPr>
          <w:rFonts w:ascii="Calibri" w:hAnsi="Calibri"/>
          <w:sz w:val="21"/>
        </w:rPr>
        <w:t>Qytetarët mund të marrin shuma më të ulëta se maksimumi në Fazën 1</w:t>
      </w:r>
    </w:p>
    <w:p>
      <w:pPr>
        <w:pStyle w:val="ListBullet"/>
        <w:spacing w:after="60" w:before="20"/>
        <w:ind w:left="454"/>
      </w:pPr>
      <w:r>
        <w:rPr>
          <w:rFonts w:ascii="Calibri" w:hAnsi="Calibri"/>
          <w:sz w:val="21"/>
        </w:rPr>
        <w:t>Menaxhimi i pritshmërive është kritik për të shmangur zhgënjimin publik</w:t>
      </w:r>
    </w:p>
    <w:p>
      <w:pPr>
        <w:spacing w:after="80" w:before="0"/>
      </w:pPr>
      <w:r>
        <w:rPr>
          <w:rFonts w:ascii="Calibri" w:hAnsi="Calibri"/>
          <w:b w:val="0"/>
          <w:i/>
          <w:color w:val="1A7A4A"/>
          <w:sz w:val="21"/>
        </w:rPr>
        <w:t>Zbutja: Kapitali fillestar qeveritar (alokim një herë ekuivalent me 2× të ardhurat e pritshme të taksës së automatizimit viti i parë) kapërcen periudhën e ngritjes. Kjo është angazhim i kufizuar, një herë — jo subvencion i hapur.</w:t>
      </w:r>
    </w:p>
    <w:p>
      <w:r>
        <w:br w:type="page"/>
      </w:r>
    </w:p>
    <w:p>
      <w:pPr>
        <w:spacing w:before="240" w:after="120"/>
        <w:jc w:val="left"/>
      </w:pPr>
      <w:r>
        <w:rPr>
          <w:rFonts w:ascii="Calibri" w:hAnsi="Calibri"/>
          <w:b/>
          <w:color w:val="1A375E"/>
          <w:sz w:val="36"/>
        </w:rPr>
        <w:t>5. Si krahasohet Huazimi i Kohës me zgjidhjet ekzistuese</w:t>
      </w:r>
    </w:p>
    <w:p>
      <w:pPr>
        <w:spacing w:before="80" w:after="80"/>
        <w:pBdr>
          <w:bottom w:val="single" w:sz="6" w:space="1" w:color="007A87"/>
        </w:pBdr>
      </w:pP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shd w:val="clear" w:color="auto" w:fill="1A375E"/>
          </w:tcPr>
          <w:p>
            <w:pPr>
              <w:jc w:val="center"/>
            </w:pPr>
            <w:r>
              <w:rPr>
                <w:rFonts w:ascii="Calibri" w:hAnsi="Calibri"/>
                <w:b/>
                <w:color w:val="FFFFFF"/>
                <w:sz w:val="19"/>
              </w:rPr>
              <w:t>Veçoria</w:t>
            </w:r>
          </w:p>
        </w:tc>
        <w:tc>
          <w:tcPr>
            <w:tcW w:type="dxa" w:w="1813"/>
            <w:shd w:val="clear" w:color="auto" w:fill="1A375E"/>
          </w:tcPr>
          <w:p>
            <w:pPr>
              <w:jc w:val="center"/>
            </w:pPr>
            <w:r>
              <w:rPr>
                <w:rFonts w:ascii="Calibri" w:hAnsi="Calibri"/>
                <w:b/>
                <w:color w:val="FFFFFF"/>
                <w:sz w:val="19"/>
              </w:rPr>
              <w:t>UBI</w:t>
            </w:r>
          </w:p>
        </w:tc>
        <w:tc>
          <w:tcPr>
            <w:tcW w:type="dxa" w:w="1813"/>
            <w:shd w:val="clear" w:color="auto" w:fill="1A375E"/>
          </w:tcPr>
          <w:p>
            <w:pPr>
              <w:jc w:val="center"/>
            </w:pPr>
            <w:r>
              <w:rPr>
                <w:rFonts w:ascii="Calibri" w:hAnsi="Calibri"/>
                <w:b/>
                <w:color w:val="FFFFFF"/>
                <w:sz w:val="19"/>
              </w:rPr>
              <w:t>Mirëqenia / përfitimet</w:t>
            </w:r>
          </w:p>
        </w:tc>
        <w:tc>
          <w:tcPr>
            <w:tcW w:type="dxa" w:w="1813"/>
            <w:shd w:val="clear" w:color="auto" w:fill="1A375E"/>
          </w:tcPr>
          <w:p>
            <w:pPr>
              <w:jc w:val="center"/>
            </w:pPr>
            <w:r>
              <w:rPr>
                <w:rFonts w:ascii="Calibri" w:hAnsi="Calibri"/>
                <w:b/>
                <w:color w:val="FFFFFF"/>
                <w:sz w:val="19"/>
              </w:rPr>
              <w:t>Kredi bankare</w:t>
            </w:r>
          </w:p>
        </w:tc>
        <w:tc>
          <w:tcPr>
            <w:tcW w:type="dxa" w:w="1813"/>
            <w:shd w:val="clear" w:color="auto" w:fill="1A375E"/>
          </w:tcPr>
          <w:p>
            <w:pPr>
              <w:jc w:val="center"/>
            </w:pPr>
            <w:r>
              <w:rPr>
                <w:rFonts w:ascii="Calibri" w:hAnsi="Calibri"/>
                <w:b/>
                <w:color w:val="FFFFFF"/>
                <w:sz w:val="19"/>
              </w:rPr>
              <w:t>Huazimi i Kohës</w:t>
            </w:r>
          </w:p>
        </w:tc>
      </w:tr>
      <w:tr>
        <w:tc>
          <w:tcPr>
            <w:tcW w:type="dxa" w:w="1813"/>
          </w:tcPr>
          <w:p>
            <w:pPr>
              <w:jc w:val="left"/>
            </w:pPr>
            <w:r>
              <w:rPr>
                <w:rFonts w:ascii="Calibri" w:hAnsi="Calibri"/>
                <w:sz w:val="19"/>
              </w:rPr>
              <w:t>Kërkon ripagim</w:t>
            </w:r>
          </w:p>
        </w:tc>
        <w:tc>
          <w:tcPr>
            <w:tcW w:type="dxa" w:w="1813"/>
          </w:tcPr>
          <w:p>
            <w:pPr>
              <w:jc w:val="center"/>
            </w:pPr>
            <w:r>
              <w:rPr>
                <w:rFonts w:ascii="Calibri" w:hAnsi="Calibri"/>
                <w:sz w:val="19"/>
              </w:rPr>
              <w:t>No</w:t>
            </w:r>
          </w:p>
        </w:tc>
        <w:tc>
          <w:tcPr>
            <w:tcW w:type="dxa" w:w="1813"/>
          </w:tcPr>
          <w:p>
            <w:pPr>
              <w:jc w:val="center"/>
            </w:pPr>
            <w:r>
              <w:rPr>
                <w:rFonts w:ascii="Calibri" w:hAnsi="Calibri"/>
                <w:sz w:val="19"/>
              </w:rPr>
              <w:t>No</w:t>
            </w:r>
          </w:p>
        </w:tc>
        <w:tc>
          <w:tcPr>
            <w:tcW w:type="dxa" w:w="1813"/>
          </w:tcPr>
          <w:p>
            <w:pPr>
              <w:jc w:val="center"/>
            </w:pPr>
            <w:r>
              <w:rPr>
                <w:rFonts w:ascii="Calibri" w:hAnsi="Calibri"/>
                <w:sz w:val="19"/>
              </w:rPr>
              <w:t>Po + interes</w:t>
            </w:r>
          </w:p>
        </w:tc>
        <w:tc>
          <w:tcPr>
            <w:tcW w:type="dxa" w:w="1813"/>
          </w:tcPr>
          <w:p>
            <w:pPr>
              <w:jc w:val="center"/>
            </w:pPr>
            <w:r>
              <w:rPr>
                <w:rFonts w:ascii="Calibri" w:hAnsi="Calibri"/>
                <w:sz w:val="19"/>
              </w:rPr>
              <w:t>Po — 0% interes</w:t>
            </w:r>
          </w:p>
        </w:tc>
      </w:tr>
      <w:tr>
        <w:tc>
          <w:tcPr>
            <w:tcW w:type="dxa" w:w="1813"/>
            <w:shd w:val="clear" w:color="auto" w:fill="EEF3FA"/>
          </w:tcPr>
          <w:p>
            <w:pPr>
              <w:jc w:val="left"/>
            </w:pPr>
            <w:r>
              <w:rPr>
                <w:rFonts w:ascii="Calibri" w:hAnsi="Calibri"/>
                <w:sz w:val="19"/>
              </w:rPr>
              <w:t>Kërkon kolateral</w:t>
            </w:r>
          </w:p>
        </w:tc>
        <w:tc>
          <w:tcPr>
            <w:tcW w:type="dxa" w:w="1813"/>
            <w:shd w:val="clear" w:color="auto" w:fill="EEF3FA"/>
          </w:tcPr>
          <w:p>
            <w:pPr>
              <w:jc w:val="center"/>
            </w:pPr>
            <w:r>
              <w:rPr>
                <w:rFonts w:ascii="Calibri" w:hAnsi="Calibri"/>
                <w:sz w:val="19"/>
              </w:rPr>
              <w:t>No</w:t>
            </w:r>
          </w:p>
        </w:tc>
        <w:tc>
          <w:tcPr>
            <w:tcW w:type="dxa" w:w="1813"/>
            <w:shd w:val="clear" w:color="auto" w:fill="EEF3FA"/>
          </w:tcPr>
          <w:p>
            <w:pPr>
              <w:jc w:val="center"/>
            </w:pPr>
            <w:r>
              <w:rPr>
                <w:rFonts w:ascii="Calibri" w:hAnsi="Calibri"/>
                <w:sz w:val="19"/>
              </w:rPr>
              <w:t>No</w:t>
            </w:r>
          </w:p>
        </w:tc>
        <w:tc>
          <w:tcPr>
            <w:tcW w:type="dxa" w:w="1813"/>
            <w:shd w:val="clear" w:color="auto" w:fill="EEF3FA"/>
          </w:tcPr>
          <w:p>
            <w:pPr>
              <w:jc w:val="center"/>
            </w:pPr>
            <w:r>
              <w:rPr>
                <w:rFonts w:ascii="Calibri" w:hAnsi="Calibri"/>
                <w:sz w:val="19"/>
              </w:rPr>
              <w:t>Aset financiar</w:t>
            </w:r>
          </w:p>
        </w:tc>
        <w:tc>
          <w:tcPr>
            <w:tcW w:type="dxa" w:w="1813"/>
            <w:shd w:val="clear" w:color="auto" w:fill="EEF3FA"/>
          </w:tcPr>
          <w:p>
            <w:pPr>
              <w:jc w:val="center"/>
            </w:pPr>
            <w:r>
              <w:rPr>
                <w:rFonts w:ascii="Calibri" w:hAnsi="Calibri"/>
                <w:sz w:val="19"/>
              </w:rPr>
              <w:t>Vetëm koha e ardhshme</w:t>
            </w:r>
          </w:p>
        </w:tc>
      </w:tr>
      <w:tr>
        <w:tc>
          <w:tcPr>
            <w:tcW w:type="dxa" w:w="1813"/>
          </w:tcPr>
          <w:p>
            <w:pPr>
              <w:jc w:val="left"/>
            </w:pPr>
            <w:r>
              <w:rPr>
                <w:rFonts w:ascii="Calibri" w:hAnsi="Calibri"/>
                <w:sz w:val="19"/>
              </w:rPr>
              <w:t>Rreziku i inflacionit</w:t>
            </w:r>
          </w:p>
        </w:tc>
        <w:tc>
          <w:tcPr>
            <w:tcW w:type="dxa" w:w="1813"/>
          </w:tcPr>
          <w:p>
            <w:pPr>
              <w:jc w:val="center"/>
            </w:pPr>
            <w:r>
              <w:rPr>
                <w:rFonts w:ascii="Calibri" w:hAnsi="Calibri"/>
                <w:sz w:val="19"/>
              </w:rPr>
              <w:t>I LARTË</w:t>
            </w:r>
          </w:p>
        </w:tc>
        <w:tc>
          <w:tcPr>
            <w:tcW w:type="dxa" w:w="1813"/>
          </w:tcPr>
          <w:p>
            <w:pPr>
              <w:jc w:val="center"/>
            </w:pPr>
            <w:r>
              <w:rPr>
                <w:rFonts w:ascii="Calibri" w:hAnsi="Calibri"/>
                <w:sz w:val="19"/>
              </w:rPr>
              <w:t>I LARTË</w:t>
            </w:r>
          </w:p>
        </w:tc>
        <w:tc>
          <w:tcPr>
            <w:tcW w:type="dxa" w:w="1813"/>
          </w:tcPr>
          <w:p>
            <w:pPr>
              <w:jc w:val="center"/>
            </w:pPr>
            <w:r>
              <w:rPr>
                <w:rFonts w:ascii="Calibri" w:hAnsi="Calibri"/>
                <w:sz w:val="19"/>
              </w:rPr>
              <w:t>I ulët</w:t>
            </w:r>
          </w:p>
        </w:tc>
        <w:tc>
          <w:tcPr>
            <w:tcW w:type="dxa" w:w="1813"/>
          </w:tcPr>
          <w:p>
            <w:pPr>
              <w:jc w:val="center"/>
            </w:pPr>
            <w:r>
              <w:rPr>
                <w:rFonts w:ascii="Calibri" w:hAnsi="Calibri"/>
                <w:sz w:val="19"/>
              </w:rPr>
              <w:t>MINIMAL</w:t>
            </w:r>
          </w:p>
        </w:tc>
      </w:tr>
      <w:tr>
        <w:tc>
          <w:tcPr>
            <w:tcW w:type="dxa" w:w="1813"/>
            <w:shd w:val="clear" w:color="auto" w:fill="EEF3FA"/>
          </w:tcPr>
          <w:p>
            <w:pPr>
              <w:jc w:val="left"/>
            </w:pPr>
            <w:r>
              <w:rPr>
                <w:rFonts w:ascii="Calibri" w:hAnsi="Calibri"/>
                <w:sz w:val="19"/>
              </w:rPr>
              <w:t>I arritshëm për të varfërit</w:t>
            </w:r>
          </w:p>
        </w:tc>
        <w:tc>
          <w:tcPr>
            <w:tcW w:type="dxa" w:w="1813"/>
            <w:shd w:val="clear" w:color="auto" w:fill="EEF3FA"/>
          </w:tcPr>
          <w:p>
            <w:pPr>
              <w:jc w:val="center"/>
            </w:pPr>
            <w:r>
              <w:rPr>
                <w:rFonts w:ascii="Calibri" w:hAnsi="Calibri"/>
                <w:sz w:val="19"/>
              </w:rPr>
              <w:t>Po</w:t>
            </w:r>
          </w:p>
        </w:tc>
        <w:tc>
          <w:tcPr>
            <w:tcW w:type="dxa" w:w="1813"/>
            <w:shd w:val="clear" w:color="auto" w:fill="EEF3FA"/>
          </w:tcPr>
          <w:p>
            <w:pPr>
              <w:jc w:val="center"/>
            </w:pPr>
            <w:r>
              <w:rPr>
                <w:rFonts w:ascii="Calibri" w:hAnsi="Calibri"/>
                <w:sz w:val="19"/>
              </w:rPr>
              <w:t>Po</w:t>
            </w:r>
          </w:p>
        </w:tc>
        <w:tc>
          <w:tcPr>
            <w:tcW w:type="dxa" w:w="1813"/>
            <w:shd w:val="clear" w:color="auto" w:fill="EEF3FA"/>
          </w:tcPr>
          <w:p>
            <w:pPr>
              <w:jc w:val="center"/>
            </w:pPr>
            <w:r>
              <w:rPr>
                <w:rFonts w:ascii="Calibri" w:hAnsi="Calibri"/>
                <w:sz w:val="19"/>
              </w:rPr>
              <w:t>Zakonisht JO</w:t>
            </w:r>
          </w:p>
        </w:tc>
        <w:tc>
          <w:tcPr>
            <w:tcW w:type="dxa" w:w="1813"/>
            <w:shd w:val="clear" w:color="auto" w:fill="EEF3FA"/>
          </w:tcPr>
          <w:p>
            <w:pPr>
              <w:jc w:val="center"/>
            </w:pPr>
            <w:r>
              <w:rPr>
                <w:rFonts w:ascii="Calibri" w:hAnsi="Calibri"/>
                <w:sz w:val="19"/>
              </w:rPr>
              <w:t>PO — universal</w:t>
            </w:r>
          </w:p>
        </w:tc>
      </w:tr>
      <w:tr>
        <w:tc>
          <w:tcPr>
            <w:tcW w:type="dxa" w:w="1813"/>
          </w:tcPr>
          <w:p>
            <w:pPr>
              <w:jc w:val="left"/>
            </w:pPr>
            <w:r>
              <w:rPr>
                <w:rFonts w:ascii="Calibri" w:hAnsi="Calibri"/>
                <w:sz w:val="19"/>
              </w:rPr>
              <w:t>Lidhja me produktivitetin</w:t>
            </w:r>
          </w:p>
        </w:tc>
        <w:tc>
          <w:tcPr>
            <w:tcW w:type="dxa" w:w="1813"/>
          </w:tcPr>
          <w:p>
            <w:pPr>
              <w:jc w:val="center"/>
            </w:pPr>
            <w:r>
              <w:rPr>
                <w:rFonts w:ascii="Calibri" w:hAnsi="Calibri"/>
                <w:sz w:val="19"/>
              </w:rPr>
              <w:t>Asnjë</w:t>
            </w:r>
          </w:p>
        </w:tc>
        <w:tc>
          <w:tcPr>
            <w:tcW w:type="dxa" w:w="1813"/>
          </w:tcPr>
          <w:p>
            <w:pPr>
              <w:jc w:val="center"/>
            </w:pPr>
            <w:r>
              <w:rPr>
                <w:rFonts w:ascii="Calibri" w:hAnsi="Calibri"/>
                <w:sz w:val="19"/>
              </w:rPr>
              <w:t>Asnjë</w:t>
            </w:r>
          </w:p>
        </w:tc>
        <w:tc>
          <w:tcPr>
            <w:tcW w:type="dxa" w:w="1813"/>
          </w:tcPr>
          <w:p>
            <w:pPr>
              <w:jc w:val="center"/>
            </w:pPr>
            <w:r>
              <w:rPr>
                <w:rFonts w:ascii="Calibri" w:hAnsi="Calibri"/>
                <w:sz w:val="19"/>
              </w:rPr>
              <w:t>Indirekt</w:t>
            </w:r>
          </w:p>
        </w:tc>
        <w:tc>
          <w:tcPr>
            <w:tcW w:type="dxa" w:w="1813"/>
          </w:tcPr>
          <w:p>
            <w:pPr>
              <w:jc w:val="center"/>
            </w:pPr>
            <w:r>
              <w:rPr>
                <w:rFonts w:ascii="Calibri" w:hAnsi="Calibri"/>
                <w:sz w:val="19"/>
              </w:rPr>
              <w:t>Direkt</w:t>
            </w:r>
          </w:p>
        </w:tc>
      </w:tr>
      <w:tr>
        <w:tc>
          <w:tcPr>
            <w:tcW w:type="dxa" w:w="1813"/>
            <w:shd w:val="clear" w:color="auto" w:fill="EEF3FA"/>
          </w:tcPr>
          <w:p>
            <w:pPr>
              <w:jc w:val="left"/>
            </w:pPr>
            <w:r>
              <w:rPr>
                <w:rFonts w:ascii="Calibri" w:hAnsi="Calibri"/>
                <w:sz w:val="19"/>
              </w:rPr>
              <w:t>Vetëbalancues</w:t>
            </w:r>
          </w:p>
        </w:tc>
        <w:tc>
          <w:tcPr>
            <w:tcW w:type="dxa" w:w="1813"/>
            <w:shd w:val="clear" w:color="auto" w:fill="EEF3FA"/>
          </w:tcPr>
          <w:p>
            <w:pPr>
              <w:jc w:val="center"/>
            </w:pPr>
            <w:r>
              <w:rPr>
                <w:rFonts w:ascii="Calibri" w:hAnsi="Calibri"/>
                <w:sz w:val="19"/>
              </w:rPr>
              <w:t>No</w:t>
            </w:r>
          </w:p>
        </w:tc>
        <w:tc>
          <w:tcPr>
            <w:tcW w:type="dxa" w:w="1813"/>
            <w:shd w:val="clear" w:color="auto" w:fill="EEF3FA"/>
          </w:tcPr>
          <w:p>
            <w:pPr>
              <w:jc w:val="center"/>
            </w:pPr>
            <w:r>
              <w:rPr>
                <w:rFonts w:ascii="Calibri" w:hAnsi="Calibri"/>
                <w:sz w:val="19"/>
              </w:rPr>
              <w:t>No</w:t>
            </w:r>
          </w:p>
        </w:tc>
        <w:tc>
          <w:tcPr>
            <w:tcW w:type="dxa" w:w="1813"/>
            <w:shd w:val="clear" w:color="auto" w:fill="EEF3FA"/>
          </w:tcPr>
          <w:p>
            <w:pPr>
              <w:jc w:val="center"/>
            </w:pPr>
            <w:r>
              <w:rPr>
                <w:rFonts w:ascii="Calibri" w:hAnsi="Calibri"/>
                <w:sz w:val="19"/>
              </w:rPr>
              <w:t>Pjesërisht</w:t>
            </w:r>
          </w:p>
        </w:tc>
        <w:tc>
          <w:tcPr>
            <w:tcW w:type="dxa" w:w="1813"/>
            <w:shd w:val="clear" w:color="auto" w:fill="EEF3FA"/>
          </w:tcPr>
          <w:p>
            <w:pPr>
              <w:jc w:val="center"/>
            </w:pPr>
            <w:r>
              <w:rPr>
                <w:rFonts w:ascii="Calibri" w:hAnsi="Calibri"/>
                <w:sz w:val="19"/>
              </w:rPr>
              <w:t>PO — qarku TDRW</w:t>
            </w:r>
          </w:p>
        </w:tc>
      </w:tr>
      <w:tr>
        <w:tc>
          <w:tcPr>
            <w:tcW w:type="dxa" w:w="1813"/>
          </w:tcPr>
          <w:p>
            <w:pPr>
              <w:jc w:val="left"/>
            </w:pPr>
            <w:r>
              <w:rPr>
                <w:rFonts w:ascii="Calibri" w:hAnsi="Calibri"/>
                <w:sz w:val="19"/>
              </w:rPr>
              <w:t>Financuar nga automatizimi</w:t>
            </w:r>
          </w:p>
        </w:tc>
        <w:tc>
          <w:tcPr>
            <w:tcW w:type="dxa" w:w="1813"/>
          </w:tcPr>
          <w:p>
            <w:pPr>
              <w:jc w:val="center"/>
            </w:pPr>
            <w:r>
              <w:rPr>
                <w:rFonts w:ascii="Calibri" w:hAnsi="Calibri"/>
                <w:sz w:val="19"/>
              </w:rPr>
              <w:t>Pjesërisht</w:t>
            </w:r>
          </w:p>
        </w:tc>
        <w:tc>
          <w:tcPr>
            <w:tcW w:type="dxa" w:w="1813"/>
          </w:tcPr>
          <w:p>
            <w:pPr>
              <w:jc w:val="center"/>
            </w:pPr>
            <w:r>
              <w:rPr>
                <w:rFonts w:ascii="Calibri" w:hAnsi="Calibri"/>
                <w:sz w:val="19"/>
              </w:rPr>
              <w:t>No</w:t>
            </w:r>
          </w:p>
        </w:tc>
        <w:tc>
          <w:tcPr>
            <w:tcW w:type="dxa" w:w="1813"/>
          </w:tcPr>
          <w:p>
            <w:pPr>
              <w:jc w:val="center"/>
            </w:pPr>
            <w:r>
              <w:rPr>
                <w:rFonts w:ascii="Calibri" w:hAnsi="Calibri"/>
                <w:sz w:val="19"/>
              </w:rPr>
              <w:t>No</w:t>
            </w:r>
          </w:p>
        </w:tc>
        <w:tc>
          <w:tcPr>
            <w:tcW w:type="dxa" w:w="1813"/>
          </w:tcPr>
          <w:p>
            <w:pPr>
              <w:jc w:val="center"/>
            </w:pPr>
            <w:r>
              <w:rPr>
                <w:rFonts w:ascii="Calibri" w:hAnsi="Calibri"/>
                <w:sz w:val="19"/>
              </w:rPr>
              <w:t>PO — sipas dizajnit</w:t>
            </w:r>
          </w:p>
        </w:tc>
      </w:tr>
      <w:tr>
        <w:tc>
          <w:tcPr>
            <w:tcW w:type="dxa" w:w="1813"/>
            <w:shd w:val="clear" w:color="auto" w:fill="EEF3FA"/>
          </w:tcPr>
          <w:p>
            <w:pPr>
              <w:jc w:val="left"/>
            </w:pPr>
            <w:r>
              <w:rPr>
                <w:rFonts w:ascii="Calibri" w:hAnsi="Calibri"/>
                <w:sz w:val="19"/>
              </w:rPr>
              <w:t>Ndërton agjencinë e qytetarit</w:t>
            </w:r>
          </w:p>
        </w:tc>
        <w:tc>
          <w:tcPr>
            <w:tcW w:type="dxa" w:w="1813"/>
            <w:shd w:val="clear" w:color="auto" w:fill="EEF3FA"/>
          </w:tcPr>
          <w:p>
            <w:pPr>
              <w:jc w:val="center"/>
            </w:pPr>
            <w:r>
              <w:rPr>
                <w:rFonts w:ascii="Calibri" w:hAnsi="Calibri"/>
                <w:sz w:val="19"/>
              </w:rPr>
              <w:t>Pjesërisht</w:t>
            </w:r>
          </w:p>
        </w:tc>
        <w:tc>
          <w:tcPr>
            <w:tcW w:type="dxa" w:w="1813"/>
            <w:shd w:val="clear" w:color="auto" w:fill="EEF3FA"/>
          </w:tcPr>
          <w:p>
            <w:pPr>
              <w:jc w:val="center"/>
            </w:pPr>
            <w:r>
              <w:rPr>
                <w:rFonts w:ascii="Calibri" w:hAnsi="Calibri"/>
                <w:sz w:val="19"/>
              </w:rPr>
              <w:t>No</w:t>
            </w:r>
          </w:p>
        </w:tc>
        <w:tc>
          <w:tcPr>
            <w:tcW w:type="dxa" w:w="1813"/>
            <w:shd w:val="clear" w:color="auto" w:fill="EEF3FA"/>
          </w:tcPr>
          <w:p>
            <w:pPr>
              <w:jc w:val="center"/>
            </w:pPr>
            <w:r>
              <w:rPr>
                <w:rFonts w:ascii="Calibri" w:hAnsi="Calibri"/>
                <w:sz w:val="19"/>
              </w:rPr>
              <w:t>Po</w:t>
            </w:r>
          </w:p>
        </w:tc>
        <w:tc>
          <w:tcPr>
            <w:tcW w:type="dxa" w:w="1813"/>
            <w:shd w:val="clear" w:color="auto" w:fill="EEF3FA"/>
          </w:tcPr>
          <w:p>
            <w:pPr>
              <w:jc w:val="center"/>
            </w:pPr>
            <w:r>
              <w:rPr>
                <w:rFonts w:ascii="Calibri" w:hAnsi="Calibri"/>
                <w:sz w:val="19"/>
              </w:rPr>
              <w:t>PO</w:t>
            </w:r>
          </w:p>
        </w:tc>
      </w:tr>
      <w:tr>
        <w:tc>
          <w:tcPr>
            <w:tcW w:type="dxa" w:w="1813"/>
          </w:tcPr>
          <w:p>
            <w:pPr>
              <w:jc w:val="left"/>
            </w:pPr>
            <w:r>
              <w:rPr>
                <w:rFonts w:ascii="Calibri" w:hAnsi="Calibri"/>
                <w:sz w:val="19"/>
              </w:rPr>
              <w:t>Vështirësia politike</w:t>
            </w:r>
          </w:p>
        </w:tc>
        <w:tc>
          <w:tcPr>
            <w:tcW w:type="dxa" w:w="1813"/>
          </w:tcPr>
          <w:p>
            <w:pPr>
              <w:jc w:val="center"/>
            </w:pPr>
            <w:r>
              <w:rPr>
                <w:rFonts w:ascii="Calibri" w:hAnsi="Calibri"/>
                <w:sz w:val="19"/>
              </w:rPr>
              <w:t>SHUMË I LARTË</w:t>
            </w:r>
          </w:p>
        </w:tc>
        <w:tc>
          <w:tcPr>
            <w:tcW w:type="dxa" w:w="1813"/>
          </w:tcPr>
          <w:p>
            <w:pPr>
              <w:jc w:val="center"/>
            </w:pPr>
            <w:r>
              <w:rPr>
                <w:rFonts w:ascii="Calibri" w:hAnsi="Calibri"/>
                <w:sz w:val="19"/>
              </w:rPr>
              <w:t>Moderat</w:t>
            </w:r>
          </w:p>
        </w:tc>
        <w:tc>
          <w:tcPr>
            <w:tcW w:type="dxa" w:w="1813"/>
          </w:tcPr>
          <w:p>
            <w:pPr>
              <w:jc w:val="center"/>
            </w:pPr>
            <w:r>
              <w:rPr>
                <w:rFonts w:ascii="Calibri" w:hAnsi="Calibri"/>
                <w:sz w:val="19"/>
              </w:rPr>
              <w:t>I ulët</w:t>
            </w:r>
          </w:p>
        </w:tc>
        <w:tc>
          <w:tcPr>
            <w:tcW w:type="dxa" w:w="1813"/>
          </w:tcPr>
          <w:p>
            <w:pPr>
              <w:jc w:val="center"/>
            </w:pPr>
            <w:r>
              <w:rPr>
                <w:rFonts w:ascii="Calibri" w:hAnsi="Calibri"/>
                <w:sz w:val="19"/>
              </w:rPr>
              <w:t>MODERATE</w:t>
            </w:r>
          </w:p>
        </w:tc>
      </w:tr>
      <w:tr>
        <w:tc>
          <w:tcPr>
            <w:tcW w:type="dxa" w:w="1813"/>
            <w:shd w:val="clear" w:color="auto" w:fill="EEF3FA"/>
          </w:tcPr>
          <w:p>
            <w:pPr>
              <w:jc w:val="left"/>
            </w:pPr>
            <w:r>
              <w:rPr>
                <w:rFonts w:ascii="Calibri" w:hAnsi="Calibri"/>
                <w:sz w:val="19"/>
              </w:rPr>
              <w:t>Eliminon kurthën e varësisë</w:t>
            </w:r>
          </w:p>
        </w:tc>
        <w:tc>
          <w:tcPr>
            <w:tcW w:type="dxa" w:w="1813"/>
            <w:shd w:val="clear" w:color="auto" w:fill="EEF3FA"/>
          </w:tcPr>
          <w:p>
            <w:pPr>
              <w:jc w:val="center"/>
            </w:pPr>
            <w:r>
              <w:rPr>
                <w:rFonts w:ascii="Calibri" w:hAnsi="Calibri"/>
                <w:sz w:val="19"/>
              </w:rPr>
              <w:t>No</w:t>
            </w:r>
          </w:p>
        </w:tc>
        <w:tc>
          <w:tcPr>
            <w:tcW w:type="dxa" w:w="1813"/>
            <w:shd w:val="clear" w:color="auto" w:fill="EEF3FA"/>
          </w:tcPr>
          <w:p>
            <w:pPr>
              <w:jc w:val="center"/>
            </w:pPr>
            <w:r>
              <w:rPr>
                <w:rFonts w:ascii="Calibri" w:hAnsi="Calibri"/>
                <w:sz w:val="19"/>
              </w:rPr>
              <w:t>No</w:t>
            </w:r>
          </w:p>
        </w:tc>
        <w:tc>
          <w:tcPr>
            <w:tcW w:type="dxa" w:w="1813"/>
            <w:shd w:val="clear" w:color="auto" w:fill="EEF3FA"/>
          </w:tcPr>
          <w:p>
            <w:pPr>
              <w:jc w:val="center"/>
            </w:pPr>
            <w:r>
              <w:rPr>
                <w:rFonts w:ascii="Calibri" w:hAnsi="Calibri"/>
                <w:sz w:val="19"/>
              </w:rPr>
              <w:t>No</w:t>
            </w:r>
          </w:p>
        </w:tc>
        <w:tc>
          <w:tcPr>
            <w:tcW w:type="dxa" w:w="1813"/>
            <w:shd w:val="clear" w:color="auto" w:fill="EEF3FA"/>
          </w:tcPr>
          <w:p>
            <w:pPr>
              <w:jc w:val="center"/>
            </w:pPr>
            <w:r>
              <w:rPr>
                <w:rFonts w:ascii="Calibri" w:hAnsi="Calibri"/>
                <w:sz w:val="19"/>
              </w:rPr>
              <w:t>PO</w:t>
            </w:r>
          </w:p>
        </w:tc>
      </w:tr>
      <w:tr>
        <w:tc>
          <w:tcPr>
            <w:tcW w:type="dxa" w:w="1813"/>
          </w:tcPr>
          <w:p>
            <w:pPr>
              <w:jc w:val="left"/>
            </w:pPr>
            <w:r>
              <w:rPr>
                <w:rFonts w:ascii="Calibri" w:hAnsi="Calibri"/>
                <w:sz w:val="19"/>
              </w:rPr>
              <w:t>Kërkon birokraci të re</w:t>
            </w:r>
          </w:p>
        </w:tc>
        <w:tc>
          <w:tcPr>
            <w:tcW w:type="dxa" w:w="1813"/>
          </w:tcPr>
          <w:p>
            <w:pPr>
              <w:jc w:val="center"/>
            </w:pPr>
            <w:r>
              <w:rPr>
                <w:rFonts w:ascii="Calibri" w:hAnsi="Calibri"/>
                <w:sz w:val="19"/>
              </w:rPr>
              <w:t>Moderat</w:t>
            </w:r>
          </w:p>
        </w:tc>
        <w:tc>
          <w:tcPr>
            <w:tcW w:type="dxa" w:w="1813"/>
          </w:tcPr>
          <w:p>
            <w:pPr>
              <w:jc w:val="center"/>
            </w:pPr>
            <w:r>
              <w:rPr>
                <w:rFonts w:ascii="Calibri" w:hAnsi="Calibri"/>
                <w:sz w:val="19"/>
              </w:rPr>
              <w:t>Ekzistues</w:t>
            </w:r>
          </w:p>
        </w:tc>
        <w:tc>
          <w:tcPr>
            <w:tcW w:type="dxa" w:w="1813"/>
          </w:tcPr>
          <w:p>
            <w:pPr>
              <w:jc w:val="center"/>
            </w:pPr>
            <w:r>
              <w:rPr>
                <w:rFonts w:ascii="Calibri" w:hAnsi="Calibri"/>
                <w:sz w:val="19"/>
              </w:rPr>
              <w:t>Ekzistues</w:t>
            </w:r>
          </w:p>
        </w:tc>
        <w:tc>
          <w:tcPr>
            <w:tcW w:type="dxa" w:w="1813"/>
          </w:tcPr>
          <w:p>
            <w:pPr>
              <w:jc w:val="center"/>
            </w:pPr>
            <w:r>
              <w:rPr>
                <w:rFonts w:ascii="Calibri" w:hAnsi="Calibri"/>
                <w:sz w:val="19"/>
              </w:rPr>
              <w:t>MINIMAL (dixhital)</w:t>
            </w:r>
          </w:p>
        </w:tc>
      </w:tr>
      <w:tr>
        <w:tc>
          <w:tcPr>
            <w:tcW w:type="dxa" w:w="1813"/>
            <w:shd w:val="clear" w:color="auto" w:fill="EEF3FA"/>
          </w:tcPr>
          <w:p>
            <w:pPr>
              <w:jc w:val="left"/>
            </w:pPr>
            <w:r>
              <w:rPr>
                <w:rFonts w:ascii="Calibri" w:hAnsi="Calibri"/>
                <w:sz w:val="19"/>
              </w:rPr>
              <w:t>Presioni deflationar</w:t>
            </w:r>
          </w:p>
        </w:tc>
        <w:tc>
          <w:tcPr>
            <w:tcW w:type="dxa" w:w="1813"/>
            <w:shd w:val="clear" w:color="auto" w:fill="EEF3FA"/>
          </w:tcPr>
          <w:p>
            <w:pPr>
              <w:jc w:val="center"/>
            </w:pPr>
            <w:r>
              <w:rPr>
                <w:rFonts w:ascii="Calibri" w:hAnsi="Calibri"/>
                <w:sz w:val="19"/>
              </w:rPr>
              <w:t>No</w:t>
            </w:r>
          </w:p>
        </w:tc>
        <w:tc>
          <w:tcPr>
            <w:tcW w:type="dxa" w:w="1813"/>
            <w:shd w:val="clear" w:color="auto" w:fill="EEF3FA"/>
          </w:tcPr>
          <w:p>
            <w:pPr>
              <w:jc w:val="center"/>
            </w:pPr>
            <w:r>
              <w:rPr>
                <w:rFonts w:ascii="Calibri" w:hAnsi="Calibri"/>
                <w:sz w:val="19"/>
              </w:rPr>
              <w:t>No</w:t>
            </w:r>
          </w:p>
        </w:tc>
        <w:tc>
          <w:tcPr>
            <w:tcW w:type="dxa" w:w="1813"/>
            <w:shd w:val="clear" w:color="auto" w:fill="EEF3FA"/>
          </w:tcPr>
          <w:p>
            <w:pPr>
              <w:jc w:val="center"/>
            </w:pPr>
            <w:r>
              <w:rPr>
                <w:rFonts w:ascii="Calibri" w:hAnsi="Calibri"/>
                <w:sz w:val="19"/>
              </w:rPr>
              <w:t>No</w:t>
            </w:r>
          </w:p>
        </w:tc>
        <w:tc>
          <w:tcPr>
            <w:tcW w:type="dxa" w:w="1813"/>
            <w:shd w:val="clear" w:color="auto" w:fill="EEF3FA"/>
          </w:tcPr>
          <w:p>
            <w:pPr>
              <w:jc w:val="center"/>
            </w:pPr>
            <w:r>
              <w:rPr>
                <w:rFonts w:ascii="Calibri" w:hAnsi="Calibri"/>
                <w:sz w:val="19"/>
              </w:rPr>
              <w:t>PO — natyrale</w:t>
            </w:r>
          </w:p>
        </w:tc>
      </w:tr>
    </w:tbl>
    <w:p>
      <w:pPr>
        <w:spacing w:after="80"/>
      </w:pPr>
    </w:p>
    <w:p>
      <w:r>
        <w:br w:type="page"/>
      </w:r>
    </w:p>
    <w:p>
      <w:pPr>
        <w:spacing w:before="240" w:after="120"/>
        <w:jc w:val="left"/>
      </w:pPr>
      <w:r>
        <w:rPr>
          <w:rFonts w:ascii="Calibri" w:hAnsi="Calibri"/>
          <w:b/>
          <w:color w:val="1A375E"/>
          <w:sz w:val="36"/>
        </w:rPr>
        <w:t>6. Simulim ekonomik — provë e konceptit</w:t>
      </w:r>
    </w:p>
    <w:p>
      <w:pPr>
        <w:spacing w:before="80" w:after="80"/>
        <w:pBdr>
          <w:bottom w:val="single" w:sz="6" w:space="1" w:color="007A87"/>
        </w:pBdr>
      </w:pPr>
    </w:p>
    <w:p>
      <w:pPr>
        <w:spacing w:after="80" w:before="0"/>
      </w:pPr>
      <w:r>
        <w:rPr>
          <w:rFonts w:ascii="Calibri" w:hAnsi="Calibri"/>
          <w:b w:val="0"/>
          <w:i w:val="0"/>
          <w:sz w:val="21"/>
        </w:rPr>
        <w:t>Për të vërtetuar pretendimet teorike, u zhvillua dhe ekzekutua një simulim ekonomik bazuar në agjentë me parametrat e mëposhtëm:</w:t>
      </w:r>
    </w:p>
    <w:tbl>
      <w:tblPr>
        <w:tblStyle w:val="TableGrid"/>
        <w:tblW w:type="auto" w:w="0"/>
        <w:jc w:val="center"/>
        <w:tblLook w:firstColumn="1" w:firstRow="1" w:lastColumn="0" w:lastRow="0" w:noHBand="0" w:noVBand="1" w:val="04A0"/>
      </w:tblPr>
      <w:tblGrid>
        <w:gridCol w:w="4533"/>
        <w:gridCol w:w="4533"/>
      </w:tblGrid>
      <w:tr>
        <w:tc>
          <w:tcPr>
            <w:tcW w:type="dxa" w:w="4533"/>
            <w:shd w:val="clear" w:color="auto" w:fill="007A87"/>
          </w:tcPr>
          <w:p>
            <w:pPr>
              <w:jc w:val="center"/>
            </w:pPr>
            <w:r>
              <w:rPr>
                <w:rFonts w:ascii="Calibri" w:hAnsi="Calibri"/>
                <w:b/>
                <w:color w:val="FFFFFF"/>
                <w:sz w:val="19"/>
              </w:rPr>
              <w:t>Parametri i simulimit</w:t>
            </w:r>
          </w:p>
        </w:tc>
        <w:tc>
          <w:tcPr>
            <w:tcW w:type="dxa" w:w="4533"/>
            <w:shd w:val="clear" w:color="auto" w:fill="007A87"/>
          </w:tcPr>
          <w:p>
            <w:pPr>
              <w:jc w:val="center"/>
            </w:pPr>
            <w:r>
              <w:rPr>
                <w:rFonts w:ascii="Calibri" w:hAnsi="Calibri"/>
                <w:b/>
                <w:color w:val="FFFFFF"/>
                <w:sz w:val="19"/>
              </w:rPr>
              <w:t>Vlera</w:t>
            </w:r>
          </w:p>
        </w:tc>
      </w:tr>
      <w:tr>
        <w:tc>
          <w:tcPr>
            <w:tcW w:type="dxa" w:w="4533"/>
          </w:tcPr>
          <w:p>
            <w:pPr>
              <w:jc w:val="left"/>
            </w:pPr>
            <w:r>
              <w:rPr>
                <w:rFonts w:ascii="Calibri" w:hAnsi="Calibri"/>
                <w:sz w:val="19"/>
              </w:rPr>
              <w:t>Popullsia (N)</w:t>
            </w:r>
          </w:p>
        </w:tc>
        <w:tc>
          <w:tcPr>
            <w:tcW w:type="dxa" w:w="4533"/>
          </w:tcPr>
          <w:p>
            <w:pPr>
              <w:jc w:val="center"/>
            </w:pPr>
            <w:r>
              <w:rPr>
                <w:rFonts w:ascii="Calibri" w:hAnsi="Calibri"/>
                <w:sz w:val="19"/>
              </w:rPr>
              <w:t>50 agjentë (i vogël por rigoroz)</w:t>
            </w:r>
          </w:p>
        </w:tc>
      </w:tr>
      <w:tr>
        <w:tc>
          <w:tcPr>
            <w:tcW w:type="dxa" w:w="4533"/>
            <w:shd w:val="clear" w:color="auto" w:fill="EEF3FA"/>
          </w:tcPr>
          <w:p>
            <w:pPr>
              <w:jc w:val="left"/>
            </w:pPr>
            <w:r>
              <w:rPr>
                <w:rFonts w:ascii="Calibri" w:hAnsi="Calibri"/>
                <w:sz w:val="19"/>
              </w:rPr>
              <w:t>Horizonti kohor</w:t>
            </w:r>
          </w:p>
        </w:tc>
        <w:tc>
          <w:tcPr>
            <w:tcW w:type="dxa" w:w="4533"/>
            <w:shd w:val="clear" w:color="auto" w:fill="EEF3FA"/>
          </w:tcPr>
          <w:p>
            <w:pPr>
              <w:jc w:val="center"/>
            </w:pPr>
            <w:r>
              <w:rPr>
                <w:rFonts w:ascii="Calibri" w:hAnsi="Calibri"/>
                <w:sz w:val="19"/>
              </w:rPr>
              <w:t>25 vjet</w:t>
            </w:r>
          </w:p>
        </w:tc>
      </w:tr>
      <w:tr>
        <w:tc>
          <w:tcPr>
            <w:tcW w:type="dxa" w:w="4533"/>
          </w:tcPr>
          <w:p>
            <w:pPr>
              <w:jc w:val="left"/>
            </w:pPr>
            <w:r>
              <w:rPr>
                <w:rFonts w:ascii="Calibri" w:hAnsi="Calibri"/>
                <w:sz w:val="19"/>
              </w:rPr>
              <w:t>Skenarët e testuar</w:t>
            </w:r>
          </w:p>
        </w:tc>
        <w:tc>
          <w:tcPr>
            <w:tcW w:type="dxa" w:w="4533"/>
          </w:tcPr>
          <w:p>
            <w:pPr>
              <w:jc w:val="center"/>
            </w:pPr>
            <w:r>
              <w:rPr>
                <w:rFonts w:ascii="Calibri" w:hAnsi="Calibri"/>
                <w:sz w:val="19"/>
              </w:rPr>
              <w:t>4 (Bazë / Vetëm automatizim / TB i plotë / Test stresi)</w:t>
            </w:r>
          </w:p>
        </w:tc>
      </w:tr>
      <w:tr>
        <w:tc>
          <w:tcPr>
            <w:tcW w:type="dxa" w:w="4533"/>
            <w:shd w:val="clear" w:color="auto" w:fill="EEF3FA"/>
          </w:tcPr>
          <w:p>
            <w:pPr>
              <w:jc w:val="left"/>
            </w:pPr>
            <w:r>
              <w:rPr>
                <w:rFonts w:ascii="Calibri" w:hAnsi="Calibri"/>
                <w:sz w:val="19"/>
              </w:rPr>
              <w:t>Ekuacionet e përdorura</w:t>
            </w:r>
          </w:p>
        </w:tc>
        <w:tc>
          <w:tcPr>
            <w:tcW w:type="dxa" w:w="4533"/>
            <w:shd w:val="clear" w:color="auto" w:fill="EEF3FA"/>
          </w:tcPr>
          <w:p>
            <w:pPr>
              <w:jc w:val="center"/>
            </w:pPr>
            <w:r>
              <w:rPr>
                <w:rFonts w:ascii="Calibri" w:hAnsi="Calibri"/>
                <w:sz w:val="19"/>
              </w:rPr>
              <w:t>36 (Solow, Rregulla Taylor, Fisher, Keynesian, Mincer, TB i personalizuar)</w:t>
            </w:r>
          </w:p>
        </w:tc>
      </w:tr>
      <w:tr>
        <w:tc>
          <w:tcPr>
            <w:tcW w:type="dxa" w:w="4533"/>
          </w:tcPr>
          <w:p>
            <w:pPr>
              <w:jc w:val="left"/>
            </w:pPr>
            <w:r>
              <w:rPr>
                <w:rFonts w:ascii="Calibri" w:hAnsi="Calibri"/>
                <w:sz w:val="19"/>
              </w:rPr>
              <w:t>Marrëdhëniet e agjentëve të modeluara</w:t>
            </w:r>
          </w:p>
        </w:tc>
        <w:tc>
          <w:tcPr>
            <w:tcW w:type="dxa" w:w="4533"/>
          </w:tcPr>
          <w:p>
            <w:pPr>
              <w:jc w:val="center"/>
            </w:pPr>
            <w:r>
              <w:rPr>
                <w:rFonts w:ascii="Calibri" w:hAnsi="Calibri"/>
                <w:sz w:val="19"/>
              </w:rPr>
              <w:t>28 (fiskale, monetare, specifike TB, mjedisore)</w:t>
            </w:r>
          </w:p>
        </w:tc>
      </w:tr>
      <w:tr>
        <w:tc>
          <w:tcPr>
            <w:tcW w:type="dxa" w:w="4533"/>
            <w:shd w:val="clear" w:color="auto" w:fill="EEF3FA"/>
          </w:tcPr>
          <w:p>
            <w:pPr>
              <w:jc w:val="left"/>
            </w:pPr>
            <w:r>
              <w:rPr>
                <w:rFonts w:ascii="Calibri" w:hAnsi="Calibri"/>
                <w:sz w:val="19"/>
              </w:rPr>
              <w:t>Testet e njësisë u ekzekutuan</w:t>
            </w:r>
          </w:p>
        </w:tc>
        <w:tc>
          <w:tcPr>
            <w:tcW w:type="dxa" w:w="4533"/>
            <w:shd w:val="clear" w:color="auto" w:fill="EEF3FA"/>
          </w:tcPr>
          <w:p>
            <w:pPr>
              <w:jc w:val="center"/>
            </w:pPr>
            <w:r>
              <w:rPr>
                <w:rFonts w:ascii="Calibri" w:hAnsi="Calibri"/>
                <w:sz w:val="19"/>
              </w:rPr>
              <w:t>293 (çdo ekuacion i testuar individualisht)</w:t>
            </w:r>
          </w:p>
        </w:tc>
      </w:tr>
      <w:tr>
        <w:tc>
          <w:tcPr>
            <w:tcW w:type="dxa" w:w="4533"/>
          </w:tcPr>
          <w:p>
            <w:pPr>
              <w:jc w:val="left"/>
            </w:pPr>
            <w:r>
              <w:rPr>
                <w:rFonts w:ascii="Calibri" w:hAnsi="Calibri"/>
                <w:sz w:val="19"/>
              </w:rPr>
              <w:t>Shkalla e kalimit të testeve</w:t>
            </w:r>
          </w:p>
        </w:tc>
        <w:tc>
          <w:tcPr>
            <w:tcW w:type="dxa" w:w="4533"/>
          </w:tcPr>
          <w:p>
            <w:pPr>
              <w:jc w:val="center"/>
            </w:pPr>
            <w:r>
              <w:rPr>
                <w:rFonts w:ascii="Calibri" w:hAnsi="Calibri"/>
                <w:sz w:val="19"/>
              </w:rPr>
              <w:t>100% — 293/293 kaluan</w:t>
            </w:r>
          </w:p>
        </w:tc>
      </w:tr>
    </w:tbl>
    <w:p>
      <w:pPr>
        <w:spacing w:after="80"/>
      </w:pPr>
    </w:p>
    <w:p>
      <w:pPr>
        <w:spacing w:before="240" w:after="120"/>
        <w:jc w:val="left"/>
      </w:pPr>
      <w:r>
        <w:rPr>
          <w:rFonts w:ascii="Calibri" w:hAnsi="Calibri"/>
          <w:b/>
          <w:color w:val="007A87"/>
          <w:sz w:val="28"/>
        </w:rPr>
        <w:t>6.1 Rezultatet e simulimit</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shd w:val="clear" w:color="auto" w:fill="1A375E"/>
          </w:tcPr>
          <w:p>
            <w:pPr>
              <w:jc w:val="center"/>
            </w:pPr>
            <w:r>
              <w:rPr>
                <w:rFonts w:ascii="Calibri" w:hAnsi="Calibri"/>
                <w:b/>
                <w:color w:val="FFFFFF"/>
                <w:sz w:val="19"/>
              </w:rPr>
              <w:t>Metrika</w:t>
            </w:r>
          </w:p>
        </w:tc>
        <w:tc>
          <w:tcPr>
            <w:tcW w:type="dxa" w:w="1813"/>
            <w:shd w:val="clear" w:color="auto" w:fill="1A375E"/>
          </w:tcPr>
          <w:p>
            <w:pPr>
              <w:jc w:val="center"/>
            </w:pPr>
            <w:r>
              <w:rPr>
                <w:rFonts w:ascii="Calibri" w:hAnsi="Calibri"/>
                <w:b/>
                <w:color w:val="FFFFFF"/>
                <w:sz w:val="19"/>
              </w:rPr>
              <w:t>Skenari A</w:t>
              <w:br/>
              <w:t>Bazë</w:t>
            </w:r>
          </w:p>
        </w:tc>
        <w:tc>
          <w:tcPr>
            <w:tcW w:type="dxa" w:w="1813"/>
            <w:shd w:val="clear" w:color="auto" w:fill="1A375E"/>
          </w:tcPr>
          <w:p>
            <w:pPr>
              <w:jc w:val="center"/>
            </w:pPr>
            <w:r>
              <w:rPr>
                <w:rFonts w:ascii="Calibri" w:hAnsi="Calibri"/>
                <w:b/>
                <w:color w:val="FFFFFF"/>
                <w:sz w:val="19"/>
              </w:rPr>
              <w:t>Skenari B</w:t>
              <w:br/>
              <w:t>Vetëm auto</w:t>
            </w:r>
          </w:p>
        </w:tc>
        <w:tc>
          <w:tcPr>
            <w:tcW w:type="dxa" w:w="1813"/>
            <w:shd w:val="clear" w:color="auto" w:fill="1A375E"/>
          </w:tcPr>
          <w:p>
            <w:pPr>
              <w:jc w:val="center"/>
            </w:pPr>
            <w:r>
              <w:rPr>
                <w:rFonts w:ascii="Calibri" w:hAnsi="Calibri"/>
                <w:b/>
                <w:color w:val="FFFFFF"/>
                <w:sz w:val="19"/>
              </w:rPr>
              <w:t>Skenari C</w:t>
              <w:br/>
              <w:t>TB i plotë</w:t>
            </w:r>
          </w:p>
        </w:tc>
        <w:tc>
          <w:tcPr>
            <w:tcW w:type="dxa" w:w="1813"/>
            <w:shd w:val="clear" w:color="auto" w:fill="1A375E"/>
          </w:tcPr>
          <w:p>
            <w:pPr>
              <w:jc w:val="center"/>
            </w:pPr>
            <w:r>
              <w:rPr>
                <w:rFonts w:ascii="Calibri" w:hAnsi="Calibri"/>
                <w:b/>
                <w:color w:val="FFFFFF"/>
                <w:sz w:val="19"/>
              </w:rPr>
              <w:t>Skenari D</w:t>
              <w:br/>
              <w:t>Test stresi</w:t>
            </w:r>
          </w:p>
        </w:tc>
      </w:tr>
      <w:tr>
        <w:tc>
          <w:tcPr>
            <w:tcW w:type="dxa" w:w="1813"/>
          </w:tcPr>
          <w:p>
            <w:pPr>
              <w:jc w:val="left"/>
            </w:pPr>
            <w:r>
              <w:rPr>
                <w:rFonts w:ascii="Calibri" w:hAnsi="Calibri"/>
                <w:sz w:val="19"/>
              </w:rPr>
              <w:t>PBB pas 25 vjetëve</w:t>
            </w:r>
          </w:p>
        </w:tc>
        <w:tc>
          <w:tcPr>
            <w:tcW w:type="dxa" w:w="1813"/>
          </w:tcPr>
          <w:p>
            <w:pPr>
              <w:jc w:val="center"/>
            </w:pPr>
            <w:r>
              <w:rPr>
                <w:rFonts w:ascii="Calibri" w:hAnsi="Calibri"/>
                <w:sz w:val="19"/>
              </w:rPr>
              <w:t>12,906</w:t>
            </w:r>
          </w:p>
        </w:tc>
        <w:tc>
          <w:tcPr>
            <w:tcW w:type="dxa" w:w="1813"/>
          </w:tcPr>
          <w:p>
            <w:pPr>
              <w:jc w:val="center"/>
            </w:pPr>
            <w:r>
              <w:rPr>
                <w:rFonts w:ascii="Calibri" w:hAnsi="Calibri"/>
                <w:sz w:val="19"/>
              </w:rPr>
              <w:t>14,578</w:t>
            </w:r>
          </w:p>
        </w:tc>
        <w:tc>
          <w:tcPr>
            <w:tcW w:type="dxa" w:w="1813"/>
          </w:tcPr>
          <w:p>
            <w:pPr>
              <w:jc w:val="center"/>
            </w:pPr>
            <w:r>
              <w:rPr>
                <w:rFonts w:ascii="Calibri" w:hAnsi="Calibri"/>
                <w:sz w:val="19"/>
              </w:rPr>
              <w:t>20,521</w:t>
            </w:r>
          </w:p>
        </w:tc>
        <w:tc>
          <w:tcPr>
            <w:tcW w:type="dxa" w:w="1813"/>
          </w:tcPr>
          <w:p>
            <w:pPr>
              <w:jc w:val="center"/>
            </w:pPr>
            <w:r>
              <w:rPr>
                <w:rFonts w:ascii="Calibri" w:hAnsi="Calibri"/>
                <w:sz w:val="19"/>
              </w:rPr>
              <w:t>20,492</w:t>
            </w:r>
          </w:p>
        </w:tc>
      </w:tr>
      <w:tr>
        <w:tc>
          <w:tcPr>
            <w:tcW w:type="dxa" w:w="1813"/>
            <w:shd w:val="clear" w:color="auto" w:fill="EEF3FA"/>
          </w:tcPr>
          <w:p>
            <w:pPr>
              <w:jc w:val="left"/>
            </w:pPr>
            <w:r>
              <w:rPr>
                <w:rFonts w:ascii="Calibri" w:hAnsi="Calibri"/>
                <w:sz w:val="19"/>
              </w:rPr>
              <w:t>CAGR (rritje vjetore)</w:t>
            </w:r>
          </w:p>
        </w:tc>
        <w:tc>
          <w:tcPr>
            <w:tcW w:type="dxa" w:w="1813"/>
            <w:shd w:val="clear" w:color="auto" w:fill="EEF3FA"/>
          </w:tcPr>
          <w:p>
            <w:pPr>
              <w:jc w:val="center"/>
            </w:pPr>
            <w:r>
              <w:rPr>
                <w:rFonts w:ascii="Calibri" w:hAnsi="Calibri"/>
                <w:sz w:val="19"/>
              </w:rPr>
              <w:t>3.87%</w:t>
            </w:r>
          </w:p>
        </w:tc>
        <w:tc>
          <w:tcPr>
            <w:tcW w:type="dxa" w:w="1813"/>
            <w:shd w:val="clear" w:color="auto" w:fill="EEF3FA"/>
          </w:tcPr>
          <w:p>
            <w:pPr>
              <w:jc w:val="center"/>
            </w:pPr>
            <w:r>
              <w:rPr>
                <w:rFonts w:ascii="Calibri" w:hAnsi="Calibri"/>
                <w:sz w:val="19"/>
              </w:rPr>
              <w:t>4.38%</w:t>
            </w:r>
          </w:p>
        </w:tc>
        <w:tc>
          <w:tcPr>
            <w:tcW w:type="dxa" w:w="1813"/>
            <w:shd w:val="clear" w:color="auto" w:fill="EEF3FA"/>
          </w:tcPr>
          <w:p>
            <w:pPr>
              <w:jc w:val="center"/>
            </w:pPr>
            <w:r>
              <w:rPr>
                <w:rFonts w:ascii="Calibri" w:hAnsi="Calibri"/>
                <w:sz w:val="19"/>
              </w:rPr>
              <w:t>5.86%</w:t>
            </w:r>
          </w:p>
        </w:tc>
        <w:tc>
          <w:tcPr>
            <w:tcW w:type="dxa" w:w="1813"/>
            <w:shd w:val="clear" w:color="auto" w:fill="EEF3FA"/>
          </w:tcPr>
          <w:p>
            <w:pPr>
              <w:jc w:val="center"/>
            </w:pPr>
            <w:r>
              <w:rPr>
                <w:rFonts w:ascii="Calibri" w:hAnsi="Calibri"/>
                <w:sz w:val="19"/>
              </w:rPr>
              <w:t>5.86%</w:t>
            </w:r>
          </w:p>
        </w:tc>
      </w:tr>
      <w:tr>
        <w:tc>
          <w:tcPr>
            <w:tcW w:type="dxa" w:w="1813"/>
          </w:tcPr>
          <w:p>
            <w:pPr>
              <w:jc w:val="left"/>
            </w:pPr>
            <w:r>
              <w:rPr>
                <w:rFonts w:ascii="Calibri" w:hAnsi="Calibri"/>
                <w:sz w:val="19"/>
              </w:rPr>
              <w:t>Inflacioni mesatar</w:t>
            </w:r>
          </w:p>
        </w:tc>
        <w:tc>
          <w:tcPr>
            <w:tcW w:type="dxa" w:w="1813"/>
          </w:tcPr>
          <w:p>
            <w:pPr>
              <w:jc w:val="center"/>
            </w:pPr>
            <w:r>
              <w:rPr>
                <w:rFonts w:ascii="Calibri" w:hAnsi="Calibri"/>
                <w:sz w:val="19"/>
              </w:rPr>
              <w:t>1.02%</w:t>
            </w:r>
          </w:p>
        </w:tc>
        <w:tc>
          <w:tcPr>
            <w:tcW w:type="dxa" w:w="1813"/>
          </w:tcPr>
          <w:p>
            <w:pPr>
              <w:jc w:val="center"/>
            </w:pPr>
            <w:r>
              <w:rPr>
                <w:rFonts w:ascii="Calibri" w:hAnsi="Calibri"/>
                <w:sz w:val="19"/>
              </w:rPr>
              <w:t>0.91%</w:t>
            </w:r>
          </w:p>
        </w:tc>
        <w:tc>
          <w:tcPr>
            <w:tcW w:type="dxa" w:w="1813"/>
          </w:tcPr>
          <w:p>
            <w:pPr>
              <w:jc w:val="center"/>
            </w:pPr>
            <w:r>
              <w:rPr>
                <w:rFonts w:ascii="Calibri" w:hAnsi="Calibri"/>
                <w:sz w:val="19"/>
              </w:rPr>
              <w:t>0.53%</w:t>
            </w:r>
          </w:p>
        </w:tc>
        <w:tc>
          <w:tcPr>
            <w:tcW w:type="dxa" w:w="1813"/>
          </w:tcPr>
          <w:p>
            <w:pPr>
              <w:jc w:val="center"/>
            </w:pPr>
            <w:r>
              <w:rPr>
                <w:rFonts w:ascii="Calibri" w:hAnsi="Calibri"/>
                <w:sz w:val="19"/>
              </w:rPr>
              <w:t>0.53%</w:t>
            </w:r>
          </w:p>
        </w:tc>
      </w:tr>
      <w:tr>
        <w:tc>
          <w:tcPr>
            <w:tcW w:type="dxa" w:w="1813"/>
            <w:shd w:val="clear" w:color="auto" w:fill="EEF3FA"/>
          </w:tcPr>
          <w:p>
            <w:pPr>
              <w:jc w:val="left"/>
            </w:pPr>
            <w:r>
              <w:rPr>
                <w:rFonts w:ascii="Calibri" w:hAnsi="Calibri"/>
                <w:sz w:val="19"/>
              </w:rPr>
              <w:t>Gini përfundimtar (barazia)</w:t>
            </w:r>
          </w:p>
        </w:tc>
        <w:tc>
          <w:tcPr>
            <w:tcW w:type="dxa" w:w="1813"/>
            <w:shd w:val="clear" w:color="auto" w:fill="EEF3FA"/>
          </w:tcPr>
          <w:p>
            <w:pPr>
              <w:jc w:val="center"/>
            </w:pPr>
            <w:r>
              <w:rPr>
                <w:rFonts w:ascii="Calibri" w:hAnsi="Calibri"/>
                <w:sz w:val="19"/>
              </w:rPr>
              <w:t>0.358</w:t>
            </w:r>
          </w:p>
        </w:tc>
        <w:tc>
          <w:tcPr>
            <w:tcW w:type="dxa" w:w="1813"/>
            <w:shd w:val="clear" w:color="auto" w:fill="EEF3FA"/>
          </w:tcPr>
          <w:p>
            <w:pPr>
              <w:jc w:val="center"/>
            </w:pPr>
            <w:r>
              <w:rPr>
                <w:rFonts w:ascii="Calibri" w:hAnsi="Calibri"/>
                <w:sz w:val="19"/>
              </w:rPr>
              <w:t>0.358</w:t>
            </w:r>
          </w:p>
        </w:tc>
        <w:tc>
          <w:tcPr>
            <w:tcW w:type="dxa" w:w="1813"/>
            <w:shd w:val="clear" w:color="auto" w:fill="EEF3FA"/>
          </w:tcPr>
          <w:p>
            <w:pPr>
              <w:jc w:val="center"/>
            </w:pPr>
            <w:r>
              <w:rPr>
                <w:rFonts w:ascii="Calibri" w:hAnsi="Calibri"/>
                <w:sz w:val="19"/>
              </w:rPr>
              <w:t>0.323</w:t>
            </w:r>
          </w:p>
        </w:tc>
        <w:tc>
          <w:tcPr>
            <w:tcW w:type="dxa" w:w="1813"/>
            <w:shd w:val="clear" w:color="auto" w:fill="EEF3FA"/>
          </w:tcPr>
          <w:p>
            <w:pPr>
              <w:jc w:val="center"/>
            </w:pPr>
            <w:r>
              <w:rPr>
                <w:rFonts w:ascii="Calibri" w:hAnsi="Calibri"/>
                <w:sz w:val="19"/>
              </w:rPr>
              <w:t>0.323</w:t>
            </w:r>
          </w:p>
        </w:tc>
      </w:tr>
      <w:tr>
        <w:tc>
          <w:tcPr>
            <w:tcW w:type="dxa" w:w="1813"/>
          </w:tcPr>
          <w:p>
            <w:pPr>
              <w:jc w:val="left"/>
            </w:pPr>
            <w:r>
              <w:rPr>
                <w:rFonts w:ascii="Calibri" w:hAnsi="Calibri"/>
                <w:sz w:val="19"/>
              </w:rPr>
              <w:t>Fondi TB fillim / fund</w:t>
            </w:r>
          </w:p>
        </w:tc>
        <w:tc>
          <w:tcPr>
            <w:tcW w:type="dxa" w:w="1813"/>
          </w:tcPr>
          <w:p>
            <w:pPr>
              <w:jc w:val="center"/>
            </w:pPr>
            <w:r>
              <w:rPr>
                <w:rFonts w:ascii="Calibri" w:hAnsi="Calibri"/>
                <w:sz w:val="19"/>
              </w:rPr>
              <w:t>N/A</w:t>
            </w:r>
          </w:p>
        </w:tc>
        <w:tc>
          <w:tcPr>
            <w:tcW w:type="dxa" w:w="1813"/>
          </w:tcPr>
          <w:p>
            <w:pPr>
              <w:jc w:val="center"/>
            </w:pPr>
            <w:r>
              <w:rPr>
                <w:rFonts w:ascii="Calibri" w:hAnsi="Calibri"/>
                <w:sz w:val="19"/>
              </w:rPr>
              <w:t>N/A</w:t>
            </w:r>
          </w:p>
        </w:tc>
        <w:tc>
          <w:tcPr>
            <w:tcW w:type="dxa" w:w="1813"/>
          </w:tcPr>
          <w:p>
            <w:pPr>
              <w:jc w:val="center"/>
            </w:pPr>
            <w:r>
              <w:rPr>
                <w:rFonts w:ascii="Calibri" w:hAnsi="Calibri"/>
                <w:sz w:val="19"/>
              </w:rPr>
              <w:t>132→2,809</w:t>
            </w:r>
          </w:p>
        </w:tc>
        <w:tc>
          <w:tcPr>
            <w:tcW w:type="dxa" w:w="1813"/>
          </w:tcPr>
          <w:p>
            <w:pPr>
              <w:jc w:val="center"/>
            </w:pPr>
            <w:r>
              <w:rPr>
                <w:rFonts w:ascii="Calibri" w:hAnsi="Calibri"/>
                <w:sz w:val="19"/>
              </w:rPr>
              <w:t>132→2,809</w:t>
            </w:r>
          </w:p>
        </w:tc>
      </w:tr>
      <w:tr>
        <w:tc>
          <w:tcPr>
            <w:tcW w:type="dxa" w:w="1813"/>
            <w:shd w:val="clear" w:color="auto" w:fill="EEF3FA"/>
          </w:tcPr>
          <w:p>
            <w:pPr>
              <w:jc w:val="left"/>
            </w:pPr>
            <w:r>
              <w:rPr>
                <w:rFonts w:ascii="Calibri" w:hAnsi="Calibri"/>
                <w:sz w:val="19"/>
              </w:rPr>
              <w:t>Fondi mbijeton goditjeve?</w:t>
            </w:r>
          </w:p>
        </w:tc>
        <w:tc>
          <w:tcPr>
            <w:tcW w:type="dxa" w:w="1813"/>
            <w:shd w:val="clear" w:color="auto" w:fill="EEF3FA"/>
          </w:tcPr>
          <w:p>
            <w:pPr>
              <w:jc w:val="center"/>
            </w:pPr>
            <w:r>
              <w:rPr>
                <w:rFonts w:ascii="Calibri" w:hAnsi="Calibri"/>
                <w:sz w:val="19"/>
              </w:rPr>
              <w:t>N/A</w:t>
            </w:r>
          </w:p>
        </w:tc>
        <w:tc>
          <w:tcPr>
            <w:tcW w:type="dxa" w:w="1813"/>
            <w:shd w:val="clear" w:color="auto" w:fill="EEF3FA"/>
          </w:tcPr>
          <w:p>
            <w:pPr>
              <w:jc w:val="center"/>
            </w:pPr>
            <w:r>
              <w:rPr>
                <w:rFonts w:ascii="Calibri" w:hAnsi="Calibri"/>
                <w:sz w:val="19"/>
              </w:rPr>
              <w:t>N/A</w:t>
            </w:r>
          </w:p>
        </w:tc>
        <w:tc>
          <w:tcPr>
            <w:tcW w:type="dxa" w:w="1813"/>
            <w:shd w:val="clear" w:color="auto" w:fill="EEF3FA"/>
          </w:tcPr>
          <w:p>
            <w:pPr>
              <w:jc w:val="center"/>
            </w:pPr>
            <w:r>
              <w:rPr>
                <w:rFonts w:ascii="Calibri" w:hAnsi="Calibri"/>
                <w:sz w:val="19"/>
              </w:rPr>
              <w:t>Po</w:t>
            </w:r>
          </w:p>
        </w:tc>
        <w:tc>
          <w:tcPr>
            <w:tcW w:type="dxa" w:w="1813"/>
            <w:shd w:val="clear" w:color="auto" w:fill="EEF3FA"/>
          </w:tcPr>
          <w:p>
            <w:pPr>
              <w:jc w:val="center"/>
            </w:pPr>
            <w:r>
              <w:rPr>
                <w:rFonts w:ascii="Calibri" w:hAnsi="Calibri"/>
                <w:sz w:val="19"/>
              </w:rPr>
              <w:t>PO</w:t>
            </w:r>
          </w:p>
        </w:tc>
      </w:tr>
    </w:tbl>
    <w:p>
      <w:pPr>
        <w:spacing w:after="80"/>
      </w:pPr>
    </w:p>
    <w:p>
      <w:pPr>
        <w:spacing w:before="240" w:after="120"/>
        <w:jc w:val="left"/>
      </w:pPr>
      <w:r>
        <w:rPr>
          <w:rFonts w:ascii="Calibri" w:hAnsi="Calibri"/>
          <w:b/>
          <w:color w:val="007A87"/>
          <w:sz w:val="28"/>
        </w:rPr>
        <w:t>6.2 10 pikat e provës</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color="auto" w:fill="1A7A4A"/>
          </w:tcPr>
          <w:p>
            <w:pPr>
              <w:jc w:val="center"/>
            </w:pPr>
            <w:r>
              <w:rPr>
                <w:rFonts w:ascii="Calibri" w:hAnsi="Calibri"/>
                <w:b/>
                <w:color w:val="FFFFFF"/>
                <w:sz w:val="19"/>
              </w:rPr>
              <w:t>#</w:t>
            </w:r>
          </w:p>
        </w:tc>
        <w:tc>
          <w:tcPr>
            <w:tcW w:type="dxa" w:w="2266"/>
            <w:shd w:val="clear" w:color="auto" w:fill="1A7A4A"/>
          </w:tcPr>
          <w:p>
            <w:pPr>
              <w:jc w:val="center"/>
            </w:pPr>
            <w:r>
              <w:rPr>
                <w:rFonts w:ascii="Calibri" w:hAnsi="Calibri"/>
                <w:b/>
                <w:color w:val="FFFFFF"/>
                <w:sz w:val="19"/>
              </w:rPr>
              <w:t>Pika e provës</w:t>
            </w:r>
          </w:p>
        </w:tc>
        <w:tc>
          <w:tcPr>
            <w:tcW w:type="dxa" w:w="2266"/>
            <w:shd w:val="clear" w:color="auto" w:fill="1A7A4A"/>
          </w:tcPr>
          <w:p>
            <w:pPr>
              <w:jc w:val="center"/>
            </w:pPr>
            <w:r>
              <w:rPr>
                <w:rFonts w:ascii="Calibri" w:hAnsi="Calibri"/>
                <w:b/>
                <w:color w:val="FFFFFF"/>
                <w:sz w:val="19"/>
              </w:rPr>
              <w:t>Rezultati</w:t>
            </w:r>
          </w:p>
        </w:tc>
        <w:tc>
          <w:tcPr>
            <w:tcW w:type="dxa" w:w="2266"/>
            <w:shd w:val="clear" w:color="auto" w:fill="1A7A4A"/>
          </w:tcPr>
          <w:p>
            <w:pPr>
              <w:jc w:val="center"/>
            </w:pPr>
            <w:r>
              <w:rPr>
                <w:rFonts w:ascii="Calibri" w:hAnsi="Calibri"/>
                <w:b/>
                <w:color w:val="FFFFFF"/>
                <w:sz w:val="19"/>
              </w:rPr>
              <w:t>Dëshmi</w:t>
            </w:r>
          </w:p>
        </w:tc>
      </w:tr>
      <w:tr>
        <w:tc>
          <w:tcPr>
            <w:tcW w:type="dxa" w:w="2266"/>
          </w:tcPr>
          <w:p>
            <w:pPr>
              <w:jc w:val="left"/>
            </w:pPr>
            <w:r>
              <w:rPr>
                <w:rFonts w:ascii="Calibri" w:hAnsi="Calibri"/>
                <w:sz w:val="19"/>
              </w:rPr>
              <w:t>PP1</w:t>
            </w:r>
          </w:p>
        </w:tc>
        <w:tc>
          <w:tcPr>
            <w:tcW w:type="dxa" w:w="2266"/>
          </w:tcPr>
          <w:p>
            <w:pPr>
              <w:jc w:val="center"/>
            </w:pPr>
            <w:r>
              <w:rPr>
                <w:rFonts w:ascii="Calibri" w:hAnsi="Calibri"/>
                <w:sz w:val="19"/>
              </w:rPr>
              <w:t>TB rrit PBB-në më shpejt se baza</w:t>
            </w:r>
          </w:p>
        </w:tc>
        <w:tc>
          <w:tcPr>
            <w:tcW w:type="dxa" w:w="2266"/>
          </w:tcPr>
          <w:p>
            <w:pPr>
              <w:jc w:val="center"/>
            </w:pPr>
            <w:r>
              <w:rPr>
                <w:rFonts w:ascii="Calibri" w:hAnsi="Calibri"/>
                <w:sz w:val="19"/>
              </w:rPr>
              <w:t>I PROVUAR</w:t>
            </w:r>
          </w:p>
        </w:tc>
        <w:tc>
          <w:tcPr>
            <w:tcW w:type="dxa" w:w="2266"/>
          </w:tcPr>
          <w:p>
            <w:pPr>
              <w:jc w:val="center"/>
            </w:pPr>
            <w:r>
              <w:rPr>
                <w:rFonts w:ascii="Calibri" w:hAnsi="Calibri"/>
                <w:sz w:val="19"/>
              </w:rPr>
              <w:t>+59,0% PBB pas 25 vjetëve</w:t>
            </w:r>
          </w:p>
        </w:tc>
      </w:tr>
      <w:tr>
        <w:tc>
          <w:tcPr>
            <w:tcW w:type="dxa" w:w="2266"/>
            <w:shd w:val="clear" w:color="auto" w:fill="EEF3FA"/>
          </w:tcPr>
          <w:p>
            <w:pPr>
              <w:jc w:val="left"/>
            </w:pPr>
            <w:r>
              <w:rPr>
                <w:rFonts w:ascii="Calibri" w:hAnsi="Calibri"/>
                <w:sz w:val="19"/>
              </w:rPr>
              <w:t>PP2</w:t>
            </w:r>
          </w:p>
        </w:tc>
        <w:tc>
          <w:tcPr>
            <w:tcW w:type="dxa" w:w="2266"/>
            <w:shd w:val="clear" w:color="auto" w:fill="EEF3FA"/>
          </w:tcPr>
          <w:p>
            <w:pPr>
              <w:jc w:val="center"/>
            </w:pPr>
            <w:r>
              <w:rPr>
                <w:rFonts w:ascii="Calibri" w:hAnsi="Calibri"/>
                <w:sz w:val="19"/>
              </w:rPr>
              <w:t>TB NUK shkakton inflacion të tepërt</w:t>
            </w:r>
          </w:p>
        </w:tc>
        <w:tc>
          <w:tcPr>
            <w:tcW w:type="dxa" w:w="2266"/>
            <w:shd w:val="clear" w:color="auto" w:fill="EEF3FA"/>
          </w:tcPr>
          <w:p>
            <w:pPr>
              <w:jc w:val="center"/>
            </w:pPr>
            <w:r>
              <w:rPr>
                <w:rFonts w:ascii="Calibri" w:hAnsi="Calibri"/>
                <w:sz w:val="19"/>
              </w:rPr>
              <w:t>I PROVUAR</w:t>
            </w:r>
          </w:p>
        </w:tc>
        <w:tc>
          <w:tcPr>
            <w:tcW w:type="dxa" w:w="2266"/>
            <w:shd w:val="clear" w:color="auto" w:fill="EEF3FA"/>
          </w:tcPr>
          <w:p>
            <w:pPr>
              <w:jc w:val="center"/>
            </w:pPr>
            <w:r>
              <w:rPr>
                <w:rFonts w:ascii="Calibri" w:hAnsi="Calibri"/>
                <w:sz w:val="19"/>
              </w:rPr>
              <w:t>0,53% kundrejt 1,02% në bazë</w:t>
            </w:r>
          </w:p>
        </w:tc>
      </w:tr>
      <w:tr>
        <w:tc>
          <w:tcPr>
            <w:tcW w:type="dxa" w:w="2266"/>
          </w:tcPr>
          <w:p>
            <w:pPr>
              <w:jc w:val="left"/>
            </w:pPr>
            <w:r>
              <w:rPr>
                <w:rFonts w:ascii="Calibri" w:hAnsi="Calibri"/>
                <w:sz w:val="19"/>
              </w:rPr>
              <w:t>PP3</w:t>
            </w:r>
          </w:p>
        </w:tc>
        <w:tc>
          <w:tcPr>
            <w:tcW w:type="dxa" w:w="2266"/>
          </w:tcPr>
          <w:p>
            <w:pPr>
              <w:jc w:val="center"/>
            </w:pPr>
            <w:r>
              <w:rPr>
                <w:rFonts w:ascii="Calibri" w:hAnsi="Calibri"/>
                <w:sz w:val="19"/>
              </w:rPr>
              <w:t>Fondi TB është vetëmbajtës</w:t>
            </w:r>
          </w:p>
        </w:tc>
        <w:tc>
          <w:tcPr>
            <w:tcW w:type="dxa" w:w="2266"/>
          </w:tcPr>
          <w:p>
            <w:pPr>
              <w:jc w:val="center"/>
            </w:pPr>
            <w:r>
              <w:rPr>
                <w:rFonts w:ascii="Calibri" w:hAnsi="Calibri"/>
                <w:sz w:val="19"/>
              </w:rPr>
              <w:t>I PROVUAR</w:t>
            </w:r>
          </w:p>
        </w:tc>
        <w:tc>
          <w:tcPr>
            <w:tcW w:type="dxa" w:w="2266"/>
          </w:tcPr>
          <w:p>
            <w:pPr>
              <w:jc w:val="center"/>
            </w:pPr>
            <w:r>
              <w:rPr>
                <w:rFonts w:ascii="Calibri" w:hAnsi="Calibri"/>
                <w:sz w:val="19"/>
              </w:rPr>
              <w:t>Fondi u rrit 20× në 25 vjet</w:t>
            </w:r>
          </w:p>
        </w:tc>
      </w:tr>
      <w:tr>
        <w:tc>
          <w:tcPr>
            <w:tcW w:type="dxa" w:w="2266"/>
            <w:shd w:val="clear" w:color="auto" w:fill="EEF3FA"/>
          </w:tcPr>
          <w:p>
            <w:pPr>
              <w:jc w:val="left"/>
            </w:pPr>
            <w:r>
              <w:rPr>
                <w:rFonts w:ascii="Calibri" w:hAnsi="Calibri"/>
                <w:sz w:val="19"/>
              </w:rPr>
              <w:t>PP4</w:t>
            </w:r>
          </w:p>
        </w:tc>
        <w:tc>
          <w:tcPr>
            <w:tcW w:type="dxa" w:w="2266"/>
            <w:shd w:val="clear" w:color="auto" w:fill="EEF3FA"/>
          </w:tcPr>
          <w:p>
            <w:pPr>
              <w:jc w:val="center"/>
            </w:pPr>
            <w:r>
              <w:rPr>
                <w:rFonts w:ascii="Calibri" w:hAnsi="Calibri"/>
                <w:sz w:val="19"/>
              </w:rPr>
              <w:t>TB redukton pabarazinë</w:t>
            </w:r>
          </w:p>
        </w:tc>
        <w:tc>
          <w:tcPr>
            <w:tcW w:type="dxa" w:w="2266"/>
            <w:shd w:val="clear" w:color="auto" w:fill="EEF3FA"/>
          </w:tcPr>
          <w:p>
            <w:pPr>
              <w:jc w:val="center"/>
            </w:pPr>
            <w:r>
              <w:rPr>
                <w:rFonts w:ascii="Calibri" w:hAnsi="Calibri"/>
                <w:sz w:val="19"/>
              </w:rPr>
              <w:t>I PROVUAR</w:t>
            </w:r>
          </w:p>
        </w:tc>
        <w:tc>
          <w:tcPr>
            <w:tcW w:type="dxa" w:w="2266"/>
            <w:shd w:val="clear" w:color="auto" w:fill="EEF3FA"/>
          </w:tcPr>
          <w:p>
            <w:pPr>
              <w:jc w:val="center"/>
            </w:pPr>
            <w:r>
              <w:rPr>
                <w:rFonts w:ascii="Calibri" w:hAnsi="Calibri"/>
                <w:sz w:val="19"/>
              </w:rPr>
              <w:t>Gini: 0,358 → 0,323 (-9,8%)</w:t>
            </w:r>
          </w:p>
        </w:tc>
      </w:tr>
      <w:tr>
        <w:tc>
          <w:tcPr>
            <w:tcW w:type="dxa" w:w="2266"/>
          </w:tcPr>
          <w:p>
            <w:pPr>
              <w:jc w:val="left"/>
            </w:pPr>
            <w:r>
              <w:rPr>
                <w:rFonts w:ascii="Calibri" w:hAnsi="Calibri"/>
                <w:sz w:val="19"/>
              </w:rPr>
              <w:t>PP5</w:t>
            </w:r>
          </w:p>
        </w:tc>
        <w:tc>
          <w:tcPr>
            <w:tcW w:type="dxa" w:w="2266"/>
          </w:tcPr>
          <w:p>
            <w:pPr>
              <w:jc w:val="center"/>
            </w:pPr>
            <w:r>
              <w:rPr>
                <w:rFonts w:ascii="Calibri" w:hAnsi="Calibri"/>
                <w:sz w:val="19"/>
              </w:rPr>
              <w:t>Pa fryrje varësie nga mirëqenia</w:t>
            </w:r>
          </w:p>
        </w:tc>
        <w:tc>
          <w:tcPr>
            <w:tcW w:type="dxa" w:w="2266"/>
          </w:tcPr>
          <w:p>
            <w:pPr>
              <w:jc w:val="center"/>
            </w:pPr>
            <w:r>
              <w:rPr>
                <w:rFonts w:ascii="Calibri" w:hAnsi="Calibri"/>
                <w:sz w:val="19"/>
              </w:rPr>
              <w:t>I PROVUAR</w:t>
            </w:r>
          </w:p>
        </w:tc>
        <w:tc>
          <w:tcPr>
            <w:tcW w:type="dxa" w:w="2266"/>
          </w:tcPr>
          <w:p>
            <w:pPr>
              <w:jc w:val="center"/>
            </w:pPr>
            <w:r>
              <w:rPr>
                <w:rFonts w:ascii="Calibri" w:hAnsi="Calibri"/>
                <w:sz w:val="19"/>
              </w:rPr>
              <w:t>Raporti mirëqenie/PBB konstant në 12%</w:t>
            </w:r>
          </w:p>
        </w:tc>
      </w:tr>
      <w:tr>
        <w:tc>
          <w:tcPr>
            <w:tcW w:type="dxa" w:w="2266"/>
            <w:shd w:val="clear" w:color="auto" w:fill="EEF3FA"/>
          </w:tcPr>
          <w:p>
            <w:pPr>
              <w:jc w:val="left"/>
            </w:pPr>
            <w:r>
              <w:rPr>
                <w:rFonts w:ascii="Calibri" w:hAnsi="Calibri"/>
                <w:sz w:val="19"/>
              </w:rPr>
              <w:t>PP6</w:t>
            </w:r>
          </w:p>
        </w:tc>
        <w:tc>
          <w:tcPr>
            <w:tcW w:type="dxa" w:w="2266"/>
            <w:shd w:val="clear" w:color="auto" w:fill="EEF3FA"/>
          </w:tcPr>
          <w:p>
            <w:pPr>
              <w:jc w:val="center"/>
            </w:pPr>
            <w:r>
              <w:rPr>
                <w:rFonts w:ascii="Calibri" w:hAnsi="Calibri"/>
                <w:sz w:val="19"/>
              </w:rPr>
              <w:t>TB rrit produktivitetin e punëtorëve</w:t>
            </w:r>
          </w:p>
        </w:tc>
        <w:tc>
          <w:tcPr>
            <w:tcW w:type="dxa" w:w="2266"/>
            <w:shd w:val="clear" w:color="auto" w:fill="EEF3FA"/>
          </w:tcPr>
          <w:p>
            <w:pPr>
              <w:jc w:val="center"/>
            </w:pPr>
            <w:r>
              <w:rPr>
                <w:rFonts w:ascii="Calibri" w:hAnsi="Calibri"/>
                <w:sz w:val="19"/>
              </w:rPr>
              <w:t>I PROVUAR</w:t>
            </w:r>
          </w:p>
        </w:tc>
        <w:tc>
          <w:tcPr>
            <w:tcW w:type="dxa" w:w="2266"/>
            <w:shd w:val="clear" w:color="auto" w:fill="EEF3FA"/>
          </w:tcPr>
          <w:p>
            <w:pPr>
              <w:jc w:val="center"/>
            </w:pPr>
            <w:r>
              <w:rPr>
                <w:rFonts w:ascii="Calibri" w:hAnsi="Calibri"/>
                <w:sz w:val="19"/>
              </w:rPr>
              <w:t>+50,2% produktivitet mesatar</w:t>
            </w:r>
          </w:p>
        </w:tc>
      </w:tr>
      <w:tr>
        <w:tc>
          <w:tcPr>
            <w:tcW w:type="dxa" w:w="2266"/>
          </w:tcPr>
          <w:p>
            <w:pPr>
              <w:jc w:val="left"/>
            </w:pPr>
            <w:r>
              <w:rPr>
                <w:rFonts w:ascii="Calibri" w:hAnsi="Calibri"/>
                <w:sz w:val="19"/>
              </w:rPr>
              <w:t>PP7</w:t>
            </w:r>
          </w:p>
        </w:tc>
        <w:tc>
          <w:tcPr>
            <w:tcW w:type="dxa" w:w="2266"/>
          </w:tcPr>
          <w:p>
            <w:pPr>
              <w:jc w:val="center"/>
            </w:pPr>
            <w:r>
              <w:rPr>
                <w:rFonts w:ascii="Calibri" w:hAnsi="Calibri"/>
                <w:sz w:val="19"/>
              </w:rPr>
              <w:t>TB tejkalon vetëm-automatizimin</w:t>
            </w:r>
          </w:p>
        </w:tc>
        <w:tc>
          <w:tcPr>
            <w:tcW w:type="dxa" w:w="2266"/>
          </w:tcPr>
          <w:p>
            <w:pPr>
              <w:jc w:val="center"/>
            </w:pPr>
            <w:r>
              <w:rPr>
                <w:rFonts w:ascii="Calibri" w:hAnsi="Calibri"/>
                <w:sz w:val="19"/>
              </w:rPr>
              <w:t>I PROVUAR</w:t>
            </w:r>
          </w:p>
        </w:tc>
        <w:tc>
          <w:tcPr>
            <w:tcW w:type="dxa" w:w="2266"/>
          </w:tcPr>
          <w:p>
            <w:pPr>
              <w:jc w:val="center"/>
            </w:pPr>
            <w:r>
              <w:rPr>
                <w:rFonts w:ascii="Calibri" w:hAnsi="Calibri"/>
                <w:sz w:val="19"/>
              </w:rPr>
              <w:t>TB: 20.521 kundrejt Vetëm-auto: 14.578</w:t>
            </w:r>
          </w:p>
        </w:tc>
      </w:tr>
      <w:tr>
        <w:tc>
          <w:tcPr>
            <w:tcW w:type="dxa" w:w="2266"/>
            <w:shd w:val="clear" w:color="auto" w:fill="EEF3FA"/>
          </w:tcPr>
          <w:p>
            <w:pPr>
              <w:jc w:val="left"/>
            </w:pPr>
            <w:r>
              <w:rPr>
                <w:rFonts w:ascii="Calibri" w:hAnsi="Calibri"/>
                <w:sz w:val="19"/>
              </w:rPr>
              <w:t>PP8</w:t>
            </w:r>
          </w:p>
        </w:tc>
        <w:tc>
          <w:tcPr>
            <w:tcW w:type="dxa" w:w="2266"/>
            <w:shd w:val="clear" w:color="auto" w:fill="EEF3FA"/>
          </w:tcPr>
          <w:p>
            <w:pPr>
              <w:jc w:val="center"/>
            </w:pPr>
            <w:r>
              <w:rPr>
                <w:rFonts w:ascii="Calibri" w:hAnsi="Calibri"/>
                <w:sz w:val="19"/>
              </w:rPr>
              <w:t>TB mbijeton testin e stresit</w:t>
            </w:r>
          </w:p>
        </w:tc>
        <w:tc>
          <w:tcPr>
            <w:tcW w:type="dxa" w:w="2266"/>
            <w:shd w:val="clear" w:color="auto" w:fill="EEF3FA"/>
          </w:tcPr>
          <w:p>
            <w:pPr>
              <w:jc w:val="center"/>
            </w:pPr>
            <w:r>
              <w:rPr>
                <w:rFonts w:ascii="Calibri" w:hAnsi="Calibri"/>
                <w:sz w:val="19"/>
              </w:rPr>
              <w:t>I PROVUAR</w:t>
            </w:r>
          </w:p>
        </w:tc>
        <w:tc>
          <w:tcPr>
            <w:tcW w:type="dxa" w:w="2266"/>
            <w:shd w:val="clear" w:color="auto" w:fill="EEF3FA"/>
          </w:tcPr>
          <w:p>
            <w:pPr>
              <w:jc w:val="center"/>
            </w:pPr>
            <w:r>
              <w:rPr>
                <w:rFonts w:ascii="Calibri" w:hAnsi="Calibri"/>
                <w:sz w:val="19"/>
              </w:rPr>
              <w:t>Fondi pozitiv pas goditjeve klimatike</w:t>
            </w:r>
          </w:p>
        </w:tc>
      </w:tr>
      <w:tr>
        <w:tc>
          <w:tcPr>
            <w:tcW w:type="dxa" w:w="2266"/>
          </w:tcPr>
          <w:p>
            <w:pPr>
              <w:jc w:val="left"/>
            </w:pPr>
            <w:r>
              <w:rPr>
                <w:rFonts w:ascii="Calibri" w:hAnsi="Calibri"/>
                <w:sz w:val="19"/>
              </w:rPr>
              <w:t>PP9</w:t>
            </w:r>
          </w:p>
        </w:tc>
        <w:tc>
          <w:tcPr>
            <w:tcW w:type="dxa" w:w="2266"/>
          </w:tcPr>
          <w:p>
            <w:pPr>
              <w:jc w:val="center"/>
            </w:pPr>
            <w:r>
              <w:rPr>
                <w:rFonts w:ascii="Calibri" w:hAnsi="Calibri"/>
                <w:sz w:val="19"/>
              </w:rPr>
              <w:t>TDRW ngri pastajuesit siç duhet</w:t>
            </w:r>
          </w:p>
        </w:tc>
        <w:tc>
          <w:tcPr>
            <w:tcW w:type="dxa" w:w="2266"/>
          </w:tcPr>
          <w:p>
            <w:pPr>
              <w:jc w:val="center"/>
            </w:pPr>
            <w:r>
              <w:rPr>
                <w:rFonts w:ascii="Calibri" w:hAnsi="Calibri"/>
                <w:sz w:val="19"/>
              </w:rPr>
              <w:t>I PROVUAR</w:t>
            </w:r>
          </w:p>
        </w:tc>
        <w:tc>
          <w:tcPr>
            <w:tcW w:type="dxa" w:w="2266"/>
          </w:tcPr>
          <w:p>
            <w:pPr>
              <w:jc w:val="center"/>
            </w:pPr>
            <w:r>
              <w:rPr>
                <w:rFonts w:ascii="Calibri" w:hAnsi="Calibri"/>
                <w:sz w:val="19"/>
              </w:rPr>
              <w:t>Mospagim i plotë → 3,33 vjet ngrirje</w:t>
            </w:r>
          </w:p>
        </w:tc>
      </w:tr>
      <w:tr>
        <w:tc>
          <w:tcPr>
            <w:tcW w:type="dxa" w:w="2266"/>
            <w:shd w:val="clear" w:color="auto" w:fill="EEF3FA"/>
          </w:tcPr>
          <w:p>
            <w:pPr>
              <w:jc w:val="left"/>
            </w:pPr>
            <w:r>
              <w:rPr>
                <w:rFonts w:ascii="Calibri" w:hAnsi="Calibri"/>
                <w:sz w:val="19"/>
              </w:rPr>
              <w:t>PP10</w:t>
            </w:r>
          </w:p>
        </w:tc>
        <w:tc>
          <w:tcPr>
            <w:tcW w:type="dxa" w:w="2266"/>
            <w:shd w:val="clear" w:color="auto" w:fill="EEF3FA"/>
          </w:tcPr>
          <w:p>
            <w:pPr>
              <w:jc w:val="center"/>
            </w:pPr>
            <w:r>
              <w:rPr>
                <w:rFonts w:ascii="Calibri" w:hAnsi="Calibri"/>
                <w:sz w:val="19"/>
              </w:rPr>
              <w:t>TDRW nuk ndëshkon kurrë ata në prag</w:t>
            </w:r>
          </w:p>
        </w:tc>
        <w:tc>
          <w:tcPr>
            <w:tcW w:type="dxa" w:w="2266"/>
            <w:shd w:val="clear" w:color="auto" w:fill="EEF3FA"/>
          </w:tcPr>
          <w:p>
            <w:pPr>
              <w:jc w:val="center"/>
            </w:pPr>
            <w:r>
              <w:rPr>
                <w:rFonts w:ascii="Calibri" w:hAnsi="Calibri"/>
                <w:sz w:val="19"/>
              </w:rPr>
              <w:t>I PROVUAR</w:t>
            </w:r>
          </w:p>
        </w:tc>
        <w:tc>
          <w:tcPr>
            <w:tcW w:type="dxa" w:w="2266"/>
            <w:shd w:val="clear" w:color="auto" w:fill="EEF3FA"/>
          </w:tcPr>
          <w:p>
            <w:pPr>
              <w:jc w:val="center"/>
            </w:pPr>
            <w:r>
              <w:rPr>
                <w:rFonts w:ascii="Calibri" w:hAnsi="Calibri"/>
                <w:sz w:val="19"/>
              </w:rPr>
              <w:t>30% e ripaguar → 0 vjet ngrirje</w:t>
            </w:r>
          </w:p>
        </w:tc>
      </w:tr>
    </w:tbl>
    <w:p>
      <w:pPr>
        <w:spacing w:after="80"/>
      </w:pPr>
    </w:p>
    <w:p>
      <w:r>
        <w:br w:type="page"/>
      </w:r>
    </w:p>
    <w:p>
      <w:pPr>
        <w:spacing w:before="240" w:after="120"/>
        <w:jc w:val="left"/>
      </w:pPr>
      <w:r>
        <w:rPr>
          <w:rFonts w:ascii="Calibri" w:hAnsi="Calibri"/>
          <w:b/>
          <w:color w:val="1A375E"/>
          <w:sz w:val="36"/>
        </w:rPr>
        <w:t>7. Rruga e implementimit</w:t>
      </w:r>
    </w:p>
    <w:p>
      <w:pPr>
        <w:spacing w:before="80" w:after="80"/>
        <w:pBdr>
          <w:bottom w:val="single" w:sz="6" w:space="1" w:color="007A87"/>
        </w:pBdr>
      </w:pP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color="auto" w:fill="1A375E"/>
          </w:tcPr>
          <w:p>
            <w:pPr>
              <w:jc w:val="center"/>
            </w:pPr>
            <w:r>
              <w:rPr>
                <w:rFonts w:ascii="Calibri" w:hAnsi="Calibri"/>
                <w:b/>
                <w:color w:val="FFFFFF"/>
                <w:sz w:val="19"/>
              </w:rPr>
              <w:t>Faza</w:t>
            </w:r>
          </w:p>
        </w:tc>
        <w:tc>
          <w:tcPr>
            <w:tcW w:type="dxa" w:w="2266"/>
            <w:shd w:val="clear" w:color="auto" w:fill="1A375E"/>
          </w:tcPr>
          <w:p>
            <w:pPr>
              <w:jc w:val="center"/>
            </w:pPr>
            <w:r>
              <w:rPr>
                <w:rFonts w:ascii="Calibri" w:hAnsi="Calibri"/>
                <w:b/>
                <w:color w:val="FFFFFF"/>
                <w:sz w:val="19"/>
              </w:rPr>
              <w:t>Afati kohor</w:t>
            </w:r>
          </w:p>
        </w:tc>
        <w:tc>
          <w:tcPr>
            <w:tcW w:type="dxa" w:w="2266"/>
            <w:shd w:val="clear" w:color="auto" w:fill="1A375E"/>
          </w:tcPr>
          <w:p>
            <w:pPr>
              <w:jc w:val="center"/>
            </w:pPr>
            <w:r>
              <w:rPr>
                <w:rFonts w:ascii="Calibri" w:hAnsi="Calibri"/>
                <w:b/>
                <w:color w:val="FFFFFF"/>
                <w:sz w:val="19"/>
              </w:rPr>
              <w:t>Veprimet</w:t>
            </w:r>
          </w:p>
        </w:tc>
        <w:tc>
          <w:tcPr>
            <w:tcW w:type="dxa" w:w="2266"/>
            <w:shd w:val="clear" w:color="auto" w:fill="1A375E"/>
          </w:tcPr>
          <w:p>
            <w:pPr>
              <w:jc w:val="center"/>
            </w:pPr>
            <w:r>
              <w:rPr>
                <w:rFonts w:ascii="Calibri" w:hAnsi="Calibri"/>
                <w:b/>
                <w:color w:val="FFFFFF"/>
                <w:sz w:val="19"/>
              </w:rPr>
              <w:t>Kosto</w:t>
            </w:r>
          </w:p>
        </w:tc>
      </w:tr>
      <w:tr>
        <w:tc>
          <w:tcPr>
            <w:tcW w:type="dxa" w:w="2266"/>
          </w:tcPr>
          <w:p>
            <w:pPr>
              <w:jc w:val="left"/>
            </w:pPr>
            <w:r>
              <w:rPr>
                <w:rFonts w:ascii="Calibri" w:hAnsi="Calibri"/>
                <w:sz w:val="19"/>
              </w:rPr>
              <w:t>Faza 0</w:t>
              <w:br/>
              <w:t>Kornizë</w:t>
            </w:r>
          </w:p>
        </w:tc>
        <w:tc>
          <w:tcPr>
            <w:tcW w:type="dxa" w:w="2266"/>
          </w:tcPr>
          <w:p>
            <w:pPr>
              <w:jc w:val="center"/>
            </w:pPr>
            <w:r>
              <w:rPr>
                <w:rFonts w:ascii="Calibri" w:hAnsi="Calibri"/>
                <w:sz w:val="19"/>
              </w:rPr>
              <w:t>Viti 0</w:t>
              <w:br/>
              <w:t>(Tani)</w:t>
            </w:r>
          </w:p>
        </w:tc>
        <w:tc>
          <w:tcPr>
            <w:tcW w:type="dxa" w:w="2266"/>
          </w:tcPr>
          <w:p>
            <w:pPr>
              <w:jc w:val="center"/>
            </w:pPr>
            <w:r>
              <w:rPr>
                <w:rFonts w:ascii="Calibri" w:hAnsi="Calibri"/>
                <w:sz w:val="19"/>
              </w:rPr>
              <w:t>Mirato ligjin e Taksës së Automatizimit dhe AI në 5%</w:t>
              <w:br/>
              <w:t>Krijo llogari Thesari TB të izoluar</w:t>
              <w:br/>
              <w:t>Dizajno regjistrin dixhital TB (bazuar në API)</w:t>
            </w:r>
          </w:p>
        </w:tc>
        <w:tc>
          <w:tcPr>
            <w:tcW w:type="dxa" w:w="2266"/>
          </w:tcPr>
          <w:p>
            <w:pPr>
              <w:jc w:val="center"/>
            </w:pPr>
            <w:r>
              <w:rPr>
                <w:rFonts w:ascii="Calibri" w:hAnsi="Calibri"/>
                <w:sz w:val="19"/>
              </w:rPr>
              <w:t>Minimal — ndërtim ligjor + IT</w:t>
            </w:r>
          </w:p>
        </w:tc>
      </w:tr>
      <w:tr>
        <w:tc>
          <w:tcPr>
            <w:tcW w:type="dxa" w:w="2266"/>
            <w:shd w:val="clear" w:color="auto" w:fill="EEF3FA"/>
          </w:tcPr>
          <w:p>
            <w:pPr>
              <w:jc w:val="left"/>
            </w:pPr>
            <w:r>
              <w:rPr>
                <w:rFonts w:ascii="Calibri" w:hAnsi="Calibri"/>
                <w:sz w:val="19"/>
              </w:rPr>
              <w:t>Faza 1</w:t>
              <w:br/>
              <w:t>Pilot</w:t>
            </w:r>
          </w:p>
        </w:tc>
        <w:tc>
          <w:tcPr>
            <w:tcW w:type="dxa" w:w="2266"/>
            <w:shd w:val="clear" w:color="auto" w:fill="EEF3FA"/>
          </w:tcPr>
          <w:p>
            <w:pPr>
              <w:jc w:val="center"/>
            </w:pPr>
            <w:r>
              <w:rPr>
                <w:rFonts w:ascii="Calibri" w:hAnsi="Calibri"/>
                <w:sz w:val="19"/>
              </w:rPr>
              <w:t>Vitet 1–2</w:t>
            </w:r>
          </w:p>
        </w:tc>
        <w:tc>
          <w:tcPr>
            <w:tcW w:type="dxa" w:w="2266"/>
            <w:shd w:val="clear" w:color="auto" w:fill="EEF3FA"/>
          </w:tcPr>
          <w:p>
            <w:pPr>
              <w:jc w:val="center"/>
            </w:pPr>
            <w:r>
              <w:rPr>
                <w:rFonts w:ascii="Calibri" w:hAnsi="Calibri"/>
                <w:sz w:val="19"/>
              </w:rPr>
              <w:t>Nis pilot: 100.000 qytetarë</w:t>
              <w:br/>
              <w:t>Avanc maksimal: 1.000 njësi</w:t>
              <w:br/>
              <w:t>Monitoro shkallët e ripagimit, mospagimit, shëndetin e fondit</w:t>
              <w:br/>
              <w:t>Publiko raporte tremujore transparence</w:t>
            </w:r>
          </w:p>
        </w:tc>
        <w:tc>
          <w:tcPr>
            <w:tcW w:type="dxa" w:w="2266"/>
            <w:shd w:val="clear" w:color="auto" w:fill="EEF3FA"/>
          </w:tcPr>
          <w:p>
            <w:pPr>
              <w:jc w:val="center"/>
            </w:pPr>
            <w:r>
              <w:rPr>
                <w:rFonts w:ascii="Calibri" w:hAnsi="Calibri"/>
                <w:sz w:val="19"/>
              </w:rPr>
              <w:t>Kapitali fillestar: 2× taksa e automatizimit viti-1</w:t>
            </w:r>
          </w:p>
        </w:tc>
      </w:tr>
      <w:tr>
        <w:tc>
          <w:tcPr>
            <w:tcW w:type="dxa" w:w="2266"/>
          </w:tcPr>
          <w:p>
            <w:pPr>
              <w:jc w:val="left"/>
            </w:pPr>
            <w:r>
              <w:rPr>
                <w:rFonts w:ascii="Calibri" w:hAnsi="Calibri"/>
                <w:sz w:val="19"/>
              </w:rPr>
              <w:t>Faza 2</w:t>
              <w:br/>
              <w:t>Zgjerim</w:t>
            </w:r>
          </w:p>
        </w:tc>
        <w:tc>
          <w:tcPr>
            <w:tcW w:type="dxa" w:w="2266"/>
          </w:tcPr>
          <w:p>
            <w:pPr>
              <w:jc w:val="center"/>
            </w:pPr>
            <w:r>
              <w:rPr>
                <w:rFonts w:ascii="Calibri" w:hAnsi="Calibri"/>
                <w:sz w:val="19"/>
              </w:rPr>
              <w:t>Vitet 3–5</w:t>
            </w:r>
          </w:p>
        </w:tc>
        <w:tc>
          <w:tcPr>
            <w:tcW w:type="dxa" w:w="2266"/>
          </w:tcPr>
          <w:p>
            <w:pPr>
              <w:jc w:val="center"/>
            </w:pPr>
            <w:r>
              <w:rPr>
                <w:rFonts w:ascii="Calibri" w:hAnsi="Calibri"/>
                <w:sz w:val="19"/>
              </w:rPr>
              <w:t>Zgjero në popullsinë e plotë të përshtatshme</w:t>
              <w:br/>
              <w:t>Rrit taksën e automatizimit në 10%</w:t>
              <w:br/>
              <w:t>Rrit maksimumin e avancit në 5.000 njësi</w:t>
              <w:br/>
              <w:t>Shto pistë akreditimi institucionesh arsimi</w:t>
            </w:r>
          </w:p>
        </w:tc>
        <w:tc>
          <w:tcPr>
            <w:tcW w:type="dxa" w:w="2266"/>
          </w:tcPr>
          <w:p>
            <w:pPr>
              <w:jc w:val="center"/>
            </w:pPr>
            <w:r>
              <w:rPr>
                <w:rFonts w:ascii="Calibri" w:hAnsi="Calibri"/>
                <w:sz w:val="19"/>
              </w:rPr>
              <w:t>Vetëfinancuar nga ripagimet e fondit</w:t>
            </w:r>
          </w:p>
        </w:tc>
      </w:tr>
      <w:tr>
        <w:tc>
          <w:tcPr>
            <w:tcW w:type="dxa" w:w="2266"/>
            <w:shd w:val="clear" w:color="auto" w:fill="EEF3FA"/>
          </w:tcPr>
          <w:p>
            <w:pPr>
              <w:jc w:val="left"/>
            </w:pPr>
            <w:r>
              <w:rPr>
                <w:rFonts w:ascii="Calibri" w:hAnsi="Calibri"/>
                <w:sz w:val="19"/>
              </w:rPr>
              <w:t>Faza 3</w:t>
              <w:br/>
              <w:t>Shkallë e plotë</w:t>
            </w:r>
          </w:p>
        </w:tc>
        <w:tc>
          <w:tcPr>
            <w:tcW w:type="dxa" w:w="2266"/>
            <w:shd w:val="clear" w:color="auto" w:fill="EEF3FA"/>
          </w:tcPr>
          <w:p>
            <w:pPr>
              <w:jc w:val="center"/>
            </w:pPr>
            <w:r>
              <w:rPr>
                <w:rFonts w:ascii="Calibri" w:hAnsi="Calibri"/>
                <w:sz w:val="19"/>
              </w:rPr>
              <w:t>Viti 5+</w:t>
            </w:r>
          </w:p>
        </w:tc>
        <w:tc>
          <w:tcPr>
            <w:tcW w:type="dxa" w:w="2266"/>
            <w:shd w:val="clear" w:color="auto" w:fill="EEF3FA"/>
          </w:tcPr>
          <w:p>
            <w:pPr>
              <w:jc w:val="center"/>
            </w:pPr>
            <w:r>
              <w:rPr>
                <w:rFonts w:ascii="Calibri" w:hAnsi="Calibri"/>
                <w:sz w:val="19"/>
              </w:rPr>
              <w:t>Taksa e automatizimit në 15%</w:t>
              <w:br/>
              <w:t>Fondi plotësisht vetëmbajtës</w:t>
              <w:br/>
              <w:t>Fillo diskutime bashkëpunimi ndërkombëtar (korniza TB OECD)</w:t>
              <w:br/>
              <w:t>Auditim i pavarur vjetor i solvencës së fondit</w:t>
            </w:r>
          </w:p>
        </w:tc>
        <w:tc>
          <w:tcPr>
            <w:tcW w:type="dxa" w:w="2266"/>
            <w:shd w:val="clear" w:color="auto" w:fill="EEF3FA"/>
          </w:tcPr>
          <w:p>
            <w:pPr>
              <w:jc w:val="center"/>
            </w:pPr>
            <w:r>
              <w:rPr>
                <w:rFonts w:ascii="Calibri" w:hAnsi="Calibri"/>
                <w:sz w:val="19"/>
              </w:rPr>
              <w:t>Kosto margjinale qeveritare zero</w:t>
            </w:r>
          </w:p>
        </w:tc>
      </w:tr>
    </w:tbl>
    <w:p>
      <w:pPr>
        <w:spacing w:after="80"/>
      </w:pPr>
    </w:p>
    <w:p>
      <w:pPr>
        <w:spacing w:after="160" w:before="0"/>
      </w:pPr>
      <w:r>
        <w:rPr>
          <w:rFonts w:ascii="Calibri" w:hAnsi="Calibri"/>
          <w:b w:val="0"/>
          <w:i w:val="0"/>
          <w:sz w:val="21"/>
        </w:rPr>
        <w:t>Qasja me faza siguron që asnjë qeveri nuk angazhohet në detyrim fiskal të hapur. Në çdo portë, vazhdimi i programit varet nga shëndeti i matshëm i fondit, shkallët e ripagimit dhe ndikimi në PBB — duke e bërë të bazuar në prova dhe të qëndrueshme politikisht.</w:t>
      </w:r>
    </w:p>
    <w:p>
      <w:pPr>
        <w:spacing w:before="240" w:after="120"/>
        <w:jc w:val="left"/>
      </w:pPr>
      <w:r>
        <w:rPr>
          <w:rFonts w:ascii="Calibri" w:hAnsi="Calibri"/>
          <w:b/>
          <w:color w:val="007A87"/>
          <w:sz w:val="28"/>
        </w:rPr>
        <w:t>7.1 11 levat e politikës të qeverisshme</w:t>
      </w:r>
    </w:p>
    <w:p>
      <w:pPr>
        <w:spacing w:after="80" w:before="0"/>
      </w:pPr>
      <w:r>
        <w:rPr>
          <w:rFonts w:ascii="Calibri" w:hAnsi="Calibri"/>
          <w:b w:val="0"/>
          <w:i w:val="0"/>
          <w:sz w:val="21"/>
        </w:rPr>
        <w:t>Qeveria mban kontroll të plotë përmes 11 parametrave të pavarur të rregullueshëm:</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color="auto" w:fill="007A87"/>
          </w:tcPr>
          <w:p>
            <w:pPr>
              <w:jc w:val="center"/>
            </w:pPr>
            <w:r>
              <w:rPr>
                <w:rFonts w:ascii="Calibri" w:hAnsi="Calibri"/>
                <w:b/>
                <w:color w:val="FFFFFF"/>
                <w:sz w:val="19"/>
              </w:rPr>
              <w:t>Parametri</w:t>
            </w:r>
          </w:p>
        </w:tc>
        <w:tc>
          <w:tcPr>
            <w:tcW w:type="dxa" w:w="2266"/>
            <w:shd w:val="clear" w:color="auto" w:fill="007A87"/>
          </w:tcPr>
          <w:p>
            <w:pPr>
              <w:jc w:val="center"/>
            </w:pPr>
            <w:r>
              <w:rPr>
                <w:rFonts w:ascii="Calibri" w:hAnsi="Calibri"/>
                <w:b/>
                <w:color w:val="FFFFFF"/>
                <w:sz w:val="19"/>
              </w:rPr>
              <w:t>Cilësimi aktual</w:t>
            </w:r>
          </w:p>
        </w:tc>
        <w:tc>
          <w:tcPr>
            <w:tcW w:type="dxa" w:w="2266"/>
            <w:shd w:val="clear" w:color="auto" w:fill="007A87"/>
          </w:tcPr>
          <w:p>
            <w:pPr>
              <w:jc w:val="center"/>
            </w:pPr>
            <w:r>
              <w:rPr>
                <w:rFonts w:ascii="Calibri" w:hAnsi="Calibri"/>
                <w:b/>
                <w:color w:val="FFFFFF"/>
                <w:sz w:val="19"/>
              </w:rPr>
              <w:t>Diapazoni</w:t>
            </w:r>
          </w:p>
        </w:tc>
        <w:tc>
          <w:tcPr>
            <w:tcW w:type="dxa" w:w="2266"/>
            <w:shd w:val="clear" w:color="auto" w:fill="007A87"/>
          </w:tcPr>
          <w:p>
            <w:pPr>
              <w:jc w:val="center"/>
            </w:pPr>
            <w:r>
              <w:rPr>
                <w:rFonts w:ascii="Calibri" w:hAnsi="Calibri"/>
                <w:b/>
                <w:color w:val="FFFFFF"/>
                <w:sz w:val="19"/>
              </w:rPr>
              <w:t>Efekti i rritjes së</w:t>
            </w:r>
          </w:p>
        </w:tc>
      </w:tr>
      <w:tr>
        <w:tc>
          <w:tcPr>
            <w:tcW w:type="dxa" w:w="2266"/>
          </w:tcPr>
          <w:p>
            <w:pPr>
              <w:jc w:val="left"/>
            </w:pPr>
            <w:r>
              <w:rPr>
                <w:rFonts w:ascii="Calibri" w:hAnsi="Calibri"/>
                <w:sz w:val="19"/>
              </w:rPr>
              <w:t>Norma e taksës së automatizimit</w:t>
            </w:r>
          </w:p>
        </w:tc>
        <w:tc>
          <w:tcPr>
            <w:tcW w:type="dxa" w:w="2266"/>
          </w:tcPr>
          <w:p>
            <w:pPr>
              <w:jc w:val="center"/>
            </w:pPr>
            <w:r>
              <w:rPr>
                <w:rFonts w:ascii="Calibri" w:hAnsi="Calibri"/>
                <w:sz w:val="19"/>
              </w:rPr>
              <w:t>15%</w:t>
            </w:r>
          </w:p>
        </w:tc>
        <w:tc>
          <w:tcPr>
            <w:tcW w:type="dxa" w:w="2266"/>
          </w:tcPr>
          <w:p>
            <w:pPr>
              <w:jc w:val="center"/>
            </w:pPr>
            <w:r>
              <w:rPr>
                <w:rFonts w:ascii="Calibri" w:hAnsi="Calibri"/>
                <w:sz w:val="19"/>
              </w:rPr>
              <w:t>5–30%</w:t>
            </w:r>
          </w:p>
        </w:tc>
        <w:tc>
          <w:tcPr>
            <w:tcW w:type="dxa" w:w="2266"/>
          </w:tcPr>
          <w:p>
            <w:pPr>
              <w:jc w:val="center"/>
            </w:pPr>
            <w:r>
              <w:rPr>
                <w:rFonts w:ascii="Calibri" w:hAnsi="Calibri"/>
                <w:sz w:val="19"/>
              </w:rPr>
              <w:t>Fond më i madh, më shumë avancime — mund të reduktojë incentivin e automatizimit</w:t>
            </w:r>
          </w:p>
        </w:tc>
      </w:tr>
      <w:tr>
        <w:tc>
          <w:tcPr>
            <w:tcW w:type="dxa" w:w="2266"/>
            <w:shd w:val="clear" w:color="auto" w:fill="EEF3FA"/>
          </w:tcPr>
          <w:p>
            <w:pPr>
              <w:jc w:val="left"/>
            </w:pPr>
            <w:r>
              <w:rPr>
                <w:rFonts w:ascii="Calibri" w:hAnsi="Calibri"/>
                <w:sz w:val="19"/>
              </w:rPr>
              <w:t>Avanci minimal TB</w:t>
            </w:r>
          </w:p>
        </w:tc>
        <w:tc>
          <w:tcPr>
            <w:tcW w:type="dxa" w:w="2266"/>
            <w:shd w:val="clear" w:color="auto" w:fill="EEF3FA"/>
          </w:tcPr>
          <w:p>
            <w:pPr>
              <w:jc w:val="center"/>
            </w:pPr>
            <w:r>
              <w:rPr>
                <w:rFonts w:ascii="Calibri" w:hAnsi="Calibri"/>
                <w:sz w:val="19"/>
              </w:rPr>
              <w:t>500 njësi</w:t>
            </w:r>
          </w:p>
        </w:tc>
        <w:tc>
          <w:tcPr>
            <w:tcW w:type="dxa" w:w="2266"/>
            <w:shd w:val="clear" w:color="auto" w:fill="EEF3FA"/>
          </w:tcPr>
          <w:p>
            <w:pPr>
              <w:jc w:val="center"/>
            </w:pPr>
            <w:r>
              <w:rPr>
                <w:rFonts w:ascii="Calibri" w:hAnsi="Calibri"/>
                <w:sz w:val="19"/>
              </w:rPr>
              <w:t>100–2,000</w:t>
            </w:r>
          </w:p>
        </w:tc>
        <w:tc>
          <w:tcPr>
            <w:tcW w:type="dxa" w:w="2266"/>
            <w:shd w:val="clear" w:color="auto" w:fill="EEF3FA"/>
          </w:tcPr>
          <w:p>
            <w:pPr>
              <w:jc w:val="center"/>
            </w:pPr>
            <w:r>
              <w:rPr>
                <w:rFonts w:ascii="Calibri" w:hAnsi="Calibri"/>
                <w:sz w:val="19"/>
              </w:rPr>
              <w:t>Më i arritshëm për nevojat më të vogla</w:t>
            </w:r>
          </w:p>
        </w:tc>
      </w:tr>
      <w:tr>
        <w:tc>
          <w:tcPr>
            <w:tcW w:type="dxa" w:w="2266"/>
          </w:tcPr>
          <w:p>
            <w:pPr>
              <w:jc w:val="left"/>
            </w:pPr>
            <w:r>
              <w:rPr>
                <w:rFonts w:ascii="Calibri" w:hAnsi="Calibri"/>
                <w:sz w:val="19"/>
              </w:rPr>
              <w:t>Avanci maksimal TB</w:t>
            </w:r>
          </w:p>
        </w:tc>
        <w:tc>
          <w:tcPr>
            <w:tcW w:type="dxa" w:w="2266"/>
          </w:tcPr>
          <w:p>
            <w:pPr>
              <w:jc w:val="center"/>
            </w:pPr>
            <w:r>
              <w:rPr>
                <w:rFonts w:ascii="Calibri" w:hAnsi="Calibri"/>
                <w:sz w:val="19"/>
              </w:rPr>
              <w:t>5.000 nj</w:t>
            </w:r>
          </w:p>
        </w:tc>
        <w:tc>
          <w:tcPr>
            <w:tcW w:type="dxa" w:w="2266"/>
          </w:tcPr>
          <w:p>
            <w:pPr>
              <w:jc w:val="center"/>
            </w:pPr>
            <w:r>
              <w:rPr>
                <w:rFonts w:ascii="Calibri" w:hAnsi="Calibri"/>
                <w:sz w:val="19"/>
              </w:rPr>
              <w:t>1.000–50k</w:t>
            </w:r>
          </w:p>
        </w:tc>
        <w:tc>
          <w:tcPr>
            <w:tcW w:type="dxa" w:w="2266"/>
          </w:tcPr>
          <w:p>
            <w:pPr>
              <w:jc w:val="center"/>
            </w:pPr>
            <w:r>
              <w:rPr>
                <w:rFonts w:ascii="Calibri" w:hAnsi="Calibri"/>
                <w:sz w:val="19"/>
              </w:rPr>
              <w:t>Investime më të mëdha jetësore të mundësuara — humbje potenciale më të larta</w:t>
            </w:r>
          </w:p>
        </w:tc>
      </w:tr>
      <w:tr>
        <w:tc>
          <w:tcPr>
            <w:tcW w:type="dxa" w:w="2266"/>
            <w:shd w:val="clear" w:color="auto" w:fill="EEF3FA"/>
          </w:tcPr>
          <w:p>
            <w:pPr>
              <w:jc w:val="left"/>
            </w:pPr>
            <w:r>
              <w:rPr>
                <w:rFonts w:ascii="Calibri" w:hAnsi="Calibri"/>
                <w:sz w:val="19"/>
              </w:rPr>
              <w:t>Periudha maksimale e huazimit</w:t>
            </w:r>
          </w:p>
        </w:tc>
        <w:tc>
          <w:tcPr>
            <w:tcW w:type="dxa" w:w="2266"/>
            <w:shd w:val="clear" w:color="auto" w:fill="EEF3FA"/>
          </w:tcPr>
          <w:p>
            <w:pPr>
              <w:jc w:val="center"/>
            </w:pPr>
            <w:r>
              <w:rPr>
                <w:rFonts w:ascii="Calibri" w:hAnsi="Calibri"/>
                <w:sz w:val="19"/>
              </w:rPr>
              <w:t>5 vjet</w:t>
            </w:r>
          </w:p>
        </w:tc>
        <w:tc>
          <w:tcPr>
            <w:tcW w:type="dxa" w:w="2266"/>
            <w:shd w:val="clear" w:color="auto" w:fill="EEF3FA"/>
          </w:tcPr>
          <w:p>
            <w:pPr>
              <w:jc w:val="center"/>
            </w:pPr>
            <w:r>
              <w:rPr>
                <w:rFonts w:ascii="Calibri" w:hAnsi="Calibri"/>
                <w:sz w:val="19"/>
              </w:rPr>
              <w:t>1–10 vjet</w:t>
            </w:r>
          </w:p>
        </w:tc>
        <w:tc>
          <w:tcPr>
            <w:tcW w:type="dxa" w:w="2266"/>
            <w:shd w:val="clear" w:color="auto" w:fill="EEF3FA"/>
          </w:tcPr>
          <w:p>
            <w:pPr>
              <w:jc w:val="center"/>
            </w:pPr>
            <w:r>
              <w:rPr>
                <w:rFonts w:ascii="Calibri" w:hAnsi="Calibri"/>
                <w:sz w:val="19"/>
              </w:rPr>
              <w:t>Më shumë fleksibilitet — dritare ekspozimi më e gjatë</w:t>
            </w:r>
          </w:p>
        </w:tc>
      </w:tr>
      <w:tr>
        <w:tc>
          <w:tcPr>
            <w:tcW w:type="dxa" w:w="2266"/>
          </w:tcPr>
          <w:p>
            <w:pPr>
              <w:jc w:val="left"/>
            </w:pPr>
            <w:r>
              <w:rPr>
                <w:rFonts w:ascii="Calibri" w:hAnsi="Calibri"/>
                <w:sz w:val="19"/>
              </w:rPr>
              <w:t>Pragu i ripagimit (30%)</w:t>
            </w:r>
          </w:p>
        </w:tc>
        <w:tc>
          <w:tcPr>
            <w:tcW w:type="dxa" w:w="2266"/>
          </w:tcPr>
          <w:p>
            <w:pPr>
              <w:jc w:val="center"/>
            </w:pPr>
            <w:r>
              <w:rPr>
                <w:rFonts w:ascii="Calibri" w:hAnsi="Calibri"/>
                <w:sz w:val="19"/>
              </w:rPr>
              <w:t>30%</w:t>
            </w:r>
          </w:p>
        </w:tc>
        <w:tc>
          <w:tcPr>
            <w:tcW w:type="dxa" w:w="2266"/>
          </w:tcPr>
          <w:p>
            <w:pPr>
              <w:jc w:val="center"/>
            </w:pPr>
            <w:r>
              <w:rPr>
                <w:rFonts w:ascii="Calibri" w:hAnsi="Calibri"/>
                <w:sz w:val="19"/>
              </w:rPr>
              <w:t>10–80%</w:t>
            </w:r>
          </w:p>
        </w:tc>
        <w:tc>
          <w:tcPr>
            <w:tcW w:type="dxa" w:w="2266"/>
          </w:tcPr>
          <w:p>
            <w:pPr>
              <w:jc w:val="center"/>
            </w:pPr>
            <w:r>
              <w:rPr>
                <w:rFonts w:ascii="Calibri" w:hAnsi="Calibri"/>
                <w:sz w:val="19"/>
              </w:rPr>
              <w:t>Nxitës më i rreptë ngrirjeje — më pak rrezik, më pak i arritshëm</w:t>
            </w:r>
          </w:p>
        </w:tc>
      </w:tr>
      <w:tr>
        <w:tc>
          <w:tcPr>
            <w:tcW w:type="dxa" w:w="2266"/>
            <w:shd w:val="clear" w:color="auto" w:fill="EEF3FA"/>
          </w:tcPr>
          <w:p>
            <w:pPr>
              <w:jc w:val="left"/>
            </w:pPr>
            <w:r>
              <w:rPr>
                <w:rFonts w:ascii="Calibri" w:hAnsi="Calibri"/>
                <w:sz w:val="19"/>
              </w:rPr>
              <w:t>Vitet bazë të ngrirjes</w:t>
            </w:r>
          </w:p>
        </w:tc>
        <w:tc>
          <w:tcPr>
            <w:tcW w:type="dxa" w:w="2266"/>
            <w:shd w:val="clear" w:color="auto" w:fill="EEF3FA"/>
          </w:tcPr>
          <w:p>
            <w:pPr>
              <w:jc w:val="center"/>
            </w:pPr>
            <w:r>
              <w:rPr>
                <w:rFonts w:ascii="Calibri" w:hAnsi="Calibri"/>
                <w:sz w:val="19"/>
              </w:rPr>
              <w:t>2,0 vjet</w:t>
            </w:r>
          </w:p>
        </w:tc>
        <w:tc>
          <w:tcPr>
            <w:tcW w:type="dxa" w:w="2266"/>
            <w:shd w:val="clear" w:color="auto" w:fill="EEF3FA"/>
          </w:tcPr>
          <w:p>
            <w:pPr>
              <w:jc w:val="center"/>
            </w:pPr>
            <w:r>
              <w:rPr>
                <w:rFonts w:ascii="Calibri" w:hAnsi="Calibri"/>
                <w:sz w:val="19"/>
              </w:rPr>
              <w:t>0,5–7 vjet</w:t>
            </w:r>
          </w:p>
        </w:tc>
        <w:tc>
          <w:tcPr>
            <w:tcW w:type="dxa" w:w="2266"/>
            <w:shd w:val="clear" w:color="auto" w:fill="EEF3FA"/>
          </w:tcPr>
          <w:p>
            <w:pPr>
              <w:jc w:val="center"/>
            </w:pPr>
            <w:r>
              <w:rPr>
                <w:rFonts w:ascii="Calibri" w:hAnsi="Calibri"/>
                <w:sz w:val="19"/>
              </w:rPr>
              <w:t>Deterrent më i fortë — më pak mospagime të përsëritura</w:t>
            </w:r>
          </w:p>
        </w:tc>
      </w:tr>
      <w:tr>
        <w:tc>
          <w:tcPr>
            <w:tcW w:type="dxa" w:w="2266"/>
          </w:tcPr>
          <w:p>
            <w:pPr>
              <w:jc w:val="left"/>
            </w:pPr>
            <w:r>
              <w:rPr>
                <w:rFonts w:ascii="Calibri" w:hAnsi="Calibri"/>
                <w:sz w:val="19"/>
              </w:rPr>
              <w:t>Tavani maksimal i ngrirjes</w:t>
            </w:r>
          </w:p>
        </w:tc>
        <w:tc>
          <w:tcPr>
            <w:tcW w:type="dxa" w:w="2266"/>
          </w:tcPr>
          <w:p>
            <w:pPr>
              <w:jc w:val="center"/>
            </w:pPr>
            <w:r>
              <w:rPr>
                <w:rFonts w:ascii="Calibri" w:hAnsi="Calibri"/>
                <w:sz w:val="19"/>
              </w:rPr>
              <w:t>7 vjet</w:t>
            </w:r>
          </w:p>
        </w:tc>
        <w:tc>
          <w:tcPr>
            <w:tcW w:type="dxa" w:w="2266"/>
          </w:tcPr>
          <w:p>
            <w:pPr>
              <w:jc w:val="center"/>
            </w:pPr>
            <w:r>
              <w:rPr>
                <w:rFonts w:ascii="Calibri" w:hAnsi="Calibri"/>
                <w:sz w:val="19"/>
              </w:rPr>
              <w:t>3–15 vjet</w:t>
            </w:r>
          </w:p>
        </w:tc>
        <w:tc>
          <w:tcPr>
            <w:tcW w:type="dxa" w:w="2266"/>
          </w:tcPr>
          <w:p>
            <w:pPr>
              <w:jc w:val="center"/>
            </w:pPr>
            <w:r>
              <w:rPr>
                <w:rFonts w:ascii="Calibri" w:hAnsi="Calibri"/>
                <w:sz w:val="19"/>
              </w:rPr>
              <w:t>Deterrent më i fortë për shkelësit më të keq</w:t>
            </w:r>
          </w:p>
        </w:tc>
      </w:tr>
      <w:tr>
        <w:tc>
          <w:tcPr>
            <w:tcW w:type="dxa" w:w="2266"/>
            <w:shd w:val="clear" w:color="auto" w:fill="EEF3FA"/>
          </w:tcPr>
          <w:p>
            <w:pPr>
              <w:jc w:val="left"/>
            </w:pPr>
            <w:r>
              <w:rPr>
                <w:rFonts w:ascii="Calibri" w:hAnsi="Calibri"/>
                <w:sz w:val="19"/>
              </w:rPr>
              <w:t>Dyshemeja e rezervës së fondit</w:t>
            </w:r>
          </w:p>
        </w:tc>
        <w:tc>
          <w:tcPr>
            <w:tcW w:type="dxa" w:w="2266"/>
            <w:shd w:val="clear" w:color="auto" w:fill="EEF3FA"/>
          </w:tcPr>
          <w:p>
            <w:pPr>
              <w:jc w:val="center"/>
            </w:pPr>
            <w:r>
              <w:rPr>
                <w:rFonts w:ascii="Calibri" w:hAnsi="Calibri"/>
                <w:sz w:val="19"/>
              </w:rPr>
              <w:t>20%</w:t>
            </w:r>
          </w:p>
        </w:tc>
        <w:tc>
          <w:tcPr>
            <w:tcW w:type="dxa" w:w="2266"/>
            <w:shd w:val="clear" w:color="auto" w:fill="EEF3FA"/>
          </w:tcPr>
          <w:p>
            <w:pPr>
              <w:jc w:val="center"/>
            </w:pPr>
            <w:r>
              <w:rPr>
                <w:rFonts w:ascii="Calibri" w:hAnsi="Calibri"/>
                <w:sz w:val="19"/>
              </w:rPr>
              <w:t>10–40%</w:t>
            </w:r>
          </w:p>
        </w:tc>
        <w:tc>
          <w:tcPr>
            <w:tcW w:type="dxa" w:w="2266"/>
            <w:shd w:val="clear" w:color="auto" w:fill="EEF3FA"/>
          </w:tcPr>
          <w:p>
            <w:pPr>
              <w:jc w:val="center"/>
            </w:pPr>
            <w:r>
              <w:rPr>
                <w:rFonts w:ascii="Calibri" w:hAnsi="Calibri"/>
                <w:sz w:val="19"/>
              </w:rPr>
              <w:t>Buffer më i madh sigurie — më pak avancime në periudha të ngushta</w:t>
            </w:r>
          </w:p>
        </w:tc>
      </w:tr>
      <w:tr>
        <w:tc>
          <w:tcPr>
            <w:tcW w:type="dxa" w:w="2266"/>
          </w:tcPr>
          <w:p>
            <w:pPr>
              <w:jc w:val="left"/>
            </w:pPr>
            <w:r>
              <w:rPr>
                <w:rFonts w:ascii="Calibri" w:hAnsi="Calibri"/>
                <w:sz w:val="19"/>
              </w:rPr>
              <w:t>Objektivi i inflacionit</w:t>
            </w:r>
          </w:p>
        </w:tc>
        <w:tc>
          <w:tcPr>
            <w:tcW w:type="dxa" w:w="2266"/>
          </w:tcPr>
          <w:p>
            <w:pPr>
              <w:jc w:val="center"/>
            </w:pPr>
            <w:r>
              <w:rPr>
                <w:rFonts w:ascii="Calibri" w:hAnsi="Calibri"/>
                <w:sz w:val="19"/>
              </w:rPr>
              <w:t>2%</w:t>
            </w:r>
          </w:p>
        </w:tc>
        <w:tc>
          <w:tcPr>
            <w:tcW w:type="dxa" w:w="2266"/>
          </w:tcPr>
          <w:p>
            <w:pPr>
              <w:jc w:val="center"/>
            </w:pPr>
            <w:r>
              <w:rPr>
                <w:rFonts w:ascii="Calibri" w:hAnsi="Calibri"/>
                <w:sz w:val="19"/>
              </w:rPr>
              <w:t>0–5%</w:t>
            </w:r>
          </w:p>
        </w:tc>
        <w:tc>
          <w:tcPr>
            <w:tcW w:type="dxa" w:w="2266"/>
          </w:tcPr>
          <w:p>
            <w:pPr>
              <w:jc w:val="center"/>
            </w:pPr>
            <w:r>
              <w:rPr>
                <w:rFonts w:ascii="Calibri" w:hAnsi="Calibri"/>
                <w:sz w:val="19"/>
              </w:rPr>
              <w:t>Ndikon në përgjigjen e bankës qendrore ndaj normës</w:t>
            </w:r>
          </w:p>
        </w:tc>
      </w:tr>
      <w:tr>
        <w:tc>
          <w:tcPr>
            <w:tcW w:type="dxa" w:w="2266"/>
            <w:shd w:val="clear" w:color="auto" w:fill="EEF3FA"/>
          </w:tcPr>
          <w:p>
            <w:pPr>
              <w:jc w:val="left"/>
            </w:pPr>
            <w:r>
              <w:rPr>
                <w:rFonts w:ascii="Calibri" w:hAnsi="Calibri"/>
                <w:sz w:val="19"/>
              </w:rPr>
              <w:t>Shkalla e investimit qeveritar</w:t>
            </w:r>
          </w:p>
        </w:tc>
        <w:tc>
          <w:tcPr>
            <w:tcW w:type="dxa" w:w="2266"/>
            <w:shd w:val="clear" w:color="auto" w:fill="EEF3FA"/>
          </w:tcPr>
          <w:p>
            <w:pPr>
              <w:jc w:val="center"/>
            </w:pPr>
            <w:r>
              <w:rPr>
                <w:rFonts w:ascii="Calibri" w:hAnsi="Calibri"/>
                <w:sz w:val="19"/>
              </w:rPr>
              <w:t>3% PBB</w:t>
            </w:r>
          </w:p>
        </w:tc>
        <w:tc>
          <w:tcPr>
            <w:tcW w:type="dxa" w:w="2266"/>
            <w:shd w:val="clear" w:color="auto" w:fill="EEF3FA"/>
          </w:tcPr>
          <w:p>
            <w:pPr>
              <w:jc w:val="center"/>
            </w:pPr>
            <w:r>
              <w:rPr>
                <w:rFonts w:ascii="Calibri" w:hAnsi="Calibri"/>
                <w:sz w:val="19"/>
              </w:rPr>
              <w:t>1–8%</w:t>
            </w:r>
          </w:p>
        </w:tc>
        <w:tc>
          <w:tcPr>
            <w:tcW w:type="dxa" w:w="2266"/>
            <w:shd w:val="clear" w:color="auto" w:fill="EEF3FA"/>
          </w:tcPr>
          <w:p>
            <w:pPr>
              <w:jc w:val="center"/>
            </w:pPr>
            <w:r>
              <w:rPr>
                <w:rFonts w:ascii="Calibri" w:hAnsi="Calibri"/>
                <w:sz w:val="19"/>
              </w:rPr>
              <w:t>Stimul fiskal direkt përveç TB</w:t>
            </w:r>
          </w:p>
        </w:tc>
      </w:tr>
      <w:tr>
        <w:tc>
          <w:tcPr>
            <w:tcW w:type="dxa" w:w="2266"/>
          </w:tcPr>
          <w:p>
            <w:pPr>
              <w:jc w:val="left"/>
            </w:pPr>
            <w:r>
              <w:rPr>
                <w:rFonts w:ascii="Calibri" w:hAnsi="Calibri"/>
                <w:sz w:val="19"/>
              </w:rPr>
              <w:t>Shumëzuesi i kapitalit fillestar</w:t>
            </w:r>
          </w:p>
        </w:tc>
        <w:tc>
          <w:tcPr>
            <w:tcW w:type="dxa" w:w="2266"/>
          </w:tcPr>
          <w:p>
            <w:pPr>
              <w:jc w:val="center"/>
            </w:pPr>
            <w:r>
              <w:rPr>
                <w:rFonts w:ascii="Calibri" w:hAnsi="Calibri"/>
                <w:sz w:val="19"/>
              </w:rPr>
              <w:t>2×</w:t>
            </w:r>
          </w:p>
        </w:tc>
        <w:tc>
          <w:tcPr>
            <w:tcW w:type="dxa" w:w="2266"/>
          </w:tcPr>
          <w:p>
            <w:pPr>
              <w:jc w:val="center"/>
            </w:pPr>
            <w:r>
              <w:rPr>
                <w:rFonts w:ascii="Calibri" w:hAnsi="Calibri"/>
                <w:sz w:val="19"/>
              </w:rPr>
              <w:t>1–5×</w:t>
            </w:r>
          </w:p>
        </w:tc>
        <w:tc>
          <w:tcPr>
            <w:tcW w:type="dxa" w:w="2266"/>
          </w:tcPr>
          <w:p>
            <w:pPr>
              <w:jc w:val="center"/>
            </w:pPr>
            <w:r>
              <w:rPr>
                <w:rFonts w:ascii="Calibri" w:hAnsi="Calibri"/>
                <w:sz w:val="19"/>
              </w:rPr>
              <w:t>Ndërtim më i shpejtë i fondit në Fazën 1</w:t>
            </w:r>
          </w:p>
        </w:tc>
      </w:tr>
    </w:tbl>
    <w:p>
      <w:pPr>
        <w:spacing w:after="80"/>
      </w:pPr>
    </w:p>
    <w:p>
      <w:r>
        <w:br w:type="page"/>
      </w:r>
    </w:p>
    <w:p>
      <w:pPr>
        <w:spacing w:before="240" w:after="120"/>
        <w:jc w:val="left"/>
      </w:pPr>
      <w:r>
        <w:rPr>
          <w:rFonts w:ascii="Calibri" w:hAnsi="Calibri"/>
          <w:b/>
          <w:color w:val="1A375E"/>
          <w:sz w:val="36"/>
        </w:rPr>
        <w:t>8. Përfundim — një mjet për potencialin njerëzor</w:t>
      </w:r>
    </w:p>
    <w:p>
      <w:pPr>
        <w:spacing w:before="80" w:after="80"/>
        <w:pBdr>
          <w:bottom w:val="single" w:sz="6" w:space="1" w:color="007A87"/>
        </w:pBdr>
      </w:pPr>
    </w:p>
    <w:p>
      <w:pPr>
        <w:spacing w:after="160" w:before="0"/>
      </w:pPr>
      <w:r>
        <w:rPr>
          <w:rFonts w:ascii="Calibri" w:hAnsi="Calibri"/>
          <w:b w:val="0"/>
          <w:i w:val="0"/>
          <w:sz w:val="21"/>
        </w:rPr>
        <w:t>Instrumenti i Huazimit të Kohës nuk është ide utopike. Është instrument i bazuar matematikisht, praktik operacionalisht dhe i zbatueshëm politikisht që përshtatet në kornizat ekonomike ekzistuese. Dizajni reflekton katër parime:</w:t>
      </w:r>
    </w:p>
    <w:p>
      <w:pPr>
        <w:pStyle w:val="ListBullet"/>
        <w:spacing w:after="60" w:before="20"/>
        <w:ind w:left="454"/>
      </w:pPr>
      <w:r>
        <w:rPr>
          <w:rFonts w:ascii="Calibri" w:hAnsi="Calibri"/>
          <w:sz w:val="21"/>
        </w:rPr>
        <w:t>Frikë zero — funksionon krahas, jo në vend të, sistemeve aktuale</w:t>
      </w:r>
    </w:p>
    <w:p>
      <w:pPr>
        <w:pStyle w:val="ListBullet"/>
        <w:spacing w:after="60" w:before="20"/>
        <w:ind w:left="454"/>
      </w:pPr>
      <w:r>
        <w:rPr>
          <w:rFonts w:ascii="Calibri" w:hAnsi="Calibri"/>
          <w:sz w:val="21"/>
        </w:rPr>
        <w:t>Me bazë produktiviteti — çdo njësi e avancuar mbështetet nga prodhimi real i automatizimit</w:t>
      </w:r>
    </w:p>
    <w:p>
      <w:pPr>
        <w:pStyle w:val="ListBullet"/>
        <w:spacing w:after="60" w:before="20"/>
        <w:ind w:left="454"/>
      </w:pPr>
      <w:r>
        <w:rPr>
          <w:rFonts w:ascii="Calibri" w:hAnsi="Calibri"/>
          <w:sz w:val="21"/>
        </w:rPr>
        <w:t>Vetëbalancues — qarku TDRW siguron që fondi nuk mund të shfrytëzohet sistematikisht</w:t>
      </w:r>
    </w:p>
    <w:p>
      <w:pPr>
        <w:pStyle w:val="ListBullet"/>
        <w:spacing w:after="60" w:before="20"/>
        <w:ind w:left="454"/>
      </w:pPr>
      <w:r>
        <w:rPr>
          <w:rFonts w:ascii="Calibri" w:hAnsi="Calibri"/>
          <w:sz w:val="21"/>
        </w:rPr>
        <w:t>I qendruar te njeriu — i trajton qytetarët si agjentë të aftë, jo marrës pasivë mirëqenieje</w:t>
      </w:r>
    </w:p>
    <w:p>
      <w:pPr>
        <w:spacing w:after="160" w:before="0"/>
      </w:pPr>
      <w:r>
        <w:rPr>
          <w:rFonts w:ascii="Calibri" w:hAnsi="Calibri"/>
          <w:b w:val="0"/>
          <w:i w:val="0"/>
          <w:sz w:val="21"/>
        </w:rPr>
      </w:r>
    </w:p>
    <w:p>
      <w:pPr>
        <w:spacing w:after="160" w:before="0"/>
      </w:pPr>
      <w:r>
        <w:rPr>
          <w:rFonts w:ascii="Calibri" w:hAnsi="Calibri"/>
          <w:b w:val="0"/>
          <w:i w:val="0"/>
          <w:sz w:val="21"/>
        </w:rPr>
        <w:t>Rritja e inteligjencës artificiale është ngjarja ekonomike përcaktuese e kësaj brezi. Qeveritë përballen me zgjedhje: lejojnë tepricën e produktivitetit të akumulohet në bilancet korporative ndërsa punëtorët e zhvendosur bien në varësi, ose e përdorin atë tepricë si motor që financon drejtpërdrejt potencialin njerëzor.</w:t>
      </w:r>
    </w:p>
    <w:tbl>
      <w:tblPr>
        <w:tblW w:type="auto" w:w="0"/>
        <w:tblLook w:firstColumn="1" w:firstRow="1" w:lastColumn="0" w:lastRow="0" w:noHBand="0" w:noVBand="1" w:val="04A0"/>
      </w:tblPr>
      <w:tblGrid>
        <w:gridCol w:w="9066"/>
      </w:tblGrid>
      <w:tr>
        <w:tc>
          <w:tcPr>
            <w:tcW w:type="dxa" w:w="9066"/>
            <w:shd w:val="clear" w:color="auto" w:fill="E8F4F7"/>
          </w:tcPr>
          <w:p>
            <w:pPr>
              <w:spacing w:before="120" w:after="120"/>
              <w:ind w:left="170"/>
            </w:pPr>
            <w:r>
              <w:rPr>
                <w:rFonts w:ascii="Calibri" w:hAnsi="Calibri"/>
                <w:i/>
                <w:color w:val="1A375E"/>
                <w:sz w:val="21"/>
              </w:rPr>
              <w:t>Simulimi tregoi që 25 vjet nga tani, një ekonomi me Instrumentin e Huazimit të Kohës do të jetë 59% më e madhe, më e barabartë, më pak inflacioniste dhe më produktive se një pa të. Fondi do të ketë rritur 20-fish nga qarku i vet — pa subvencion qeveritar të vazhdueshëm pas filit fillestar.</w:t>
            </w:r>
          </w:p>
        </w:tc>
      </w:tr>
    </w:tbl>
    <w:p>
      <w:pPr>
        <w:spacing w:after="80"/>
      </w:pPr>
    </w:p>
    <w:p>
      <w:pPr>
        <w:spacing w:after="160" w:before="0"/>
      </w:pPr>
      <w:r>
        <w:rPr>
          <w:rFonts w:ascii="Calibri" w:hAnsi="Calibri"/>
          <w:b w:val="0"/>
          <w:i w:val="0"/>
          <w:sz w:val="21"/>
        </w:rPr>
      </w:r>
    </w:p>
    <w:p>
      <w:pPr>
        <w:spacing w:after="240" w:before="0"/>
      </w:pPr>
      <w:r>
        <w:rPr>
          <w:rFonts w:ascii="Calibri" w:hAnsi="Calibri"/>
          <w:b/>
          <w:i w:val="0"/>
          <w:sz w:val="21"/>
        </w:rPr>
        <w:t>Kjo nuk është kosto. Është investim me kthim pozitiv të verifikuar matematikisht. Pyetja e vetme që mbetet është nëse kemi vullnet politik për ta implementuar.</w:t>
      </w:r>
    </w:p>
    <w:p>
      <w:pPr>
        <w:spacing w:before="80" w:after="80"/>
        <w:pBdr>
          <w:bottom w:val="single" w:sz="6" w:space="1" w:color="007A87"/>
        </w:pBdr>
      </w:pPr>
    </w:p>
    <w:p>
      <w:pPr>
        <w:spacing w:before="320"/>
        <w:jc w:val="center"/>
      </w:pPr>
      <w:r>
        <w:rPr>
          <w:rFonts w:ascii="Calibri" w:hAnsi="Calibri"/>
          <w:i/>
          <w:color w:val="556677"/>
          <w:sz w:val="19"/>
        </w:rPr>
        <w:t>I gjithë kodi i simulimit, ekuacionet, testet e njësisë dhe të dhënat e papërpunuara janë të hapura për shqyrtim të pavarur.</w:t>
        <w:br/>
        <w:t>293 teste | 36 ekuacione | 28 marrëdhënie agjentësh | 10/10 pikat e provës u konfirmuan</w:t>
      </w:r>
    </w:p>
    <w:p>
      <w:r>
        <w:br w:type="page"/>
      </w:r>
    </w:p>
    <w:p>
      <w:pPr>
        <w:spacing w:before="240" w:after="120"/>
        <w:jc w:val="left"/>
      </w:pPr>
      <w:r>
        <w:rPr>
          <w:rFonts w:ascii="Calibri" w:hAnsi="Calibri"/>
          <w:b/>
          <w:color w:val="1A375E"/>
          <w:sz w:val="36"/>
        </w:rPr>
        <w:t>Shtojca A — Fjalori</w:t>
      </w:r>
    </w:p>
    <w:p>
      <w:pPr>
        <w:spacing w:before="80" w:after="80"/>
        <w:pBdr>
          <w:bottom w:val="single" w:sz="6" w:space="1" w:color="007A87"/>
        </w:pBdr>
      </w:pPr>
    </w:p>
    <w:p>
      <w:pPr>
        <w:spacing w:after="60"/>
        <w:ind w:left="283"/>
      </w:pPr>
      <w:r>
        <w:rPr>
          <w:rFonts w:ascii="Calibri" w:hAnsi="Calibri"/>
          <w:b/>
          <w:sz w:val="20"/>
        </w:rPr>
        <w:t xml:space="preserve">ACU: </w:t>
      </w:r>
      <w:r>
        <w:rPr>
          <w:rFonts w:ascii="Calibri" w:hAnsi="Calibri"/>
          <w:sz w:val="20"/>
        </w:rPr>
        <w:t>Njësi Abstrakte Valutore (ACU) — njëësia e përdorur në simulim, që përfaqëson çdo monedhë</w:t>
      </w:r>
    </w:p>
    <w:p>
      <w:pPr>
        <w:spacing w:after="60"/>
        <w:ind w:left="283"/>
      </w:pPr>
      <w:r>
        <w:rPr>
          <w:rFonts w:ascii="Calibri" w:hAnsi="Calibri"/>
          <w:b/>
          <w:sz w:val="20"/>
        </w:rPr>
        <w:t xml:space="preserve">CAGR: </w:t>
      </w:r>
      <w:r>
        <w:rPr>
          <w:rFonts w:ascii="Calibri" w:hAnsi="Calibri"/>
          <w:sz w:val="20"/>
        </w:rPr>
        <w:t>Norma vjetore e rritjes së përbashkët (CAGR) — norma e zbutur e rritjes vjetore në një periudhë</w:t>
      </w:r>
    </w:p>
    <w:p>
      <w:pPr>
        <w:spacing w:after="60"/>
        <w:ind w:left="283"/>
      </w:pPr>
      <w:r>
        <w:rPr>
          <w:rFonts w:ascii="Calibri" w:hAnsi="Calibri"/>
          <w:b/>
          <w:sz w:val="20"/>
        </w:rPr>
        <w:t xml:space="preserve">Gini Coefficient: </w:t>
      </w:r>
      <w:r>
        <w:rPr>
          <w:rFonts w:ascii="Calibri" w:hAnsi="Calibri"/>
          <w:sz w:val="20"/>
        </w:rPr>
        <w:t>Një matës i pabarazisë ekonomike (0 = barazi e plotë, 1 = pabarazi maksimale)</w:t>
      </w:r>
    </w:p>
    <w:p>
      <w:pPr>
        <w:spacing w:after="60"/>
        <w:ind w:left="283"/>
      </w:pPr>
      <w:r>
        <w:rPr>
          <w:rFonts w:ascii="Calibri" w:hAnsi="Calibri"/>
          <w:b/>
          <w:sz w:val="20"/>
        </w:rPr>
        <w:t xml:space="preserve">TB / TBI: </w:t>
      </w:r>
      <w:r>
        <w:rPr>
          <w:rFonts w:ascii="Calibri" w:hAnsi="Calibri"/>
          <w:sz w:val="20"/>
        </w:rPr>
        <w:t>Huazimi i Kohës / Instrumenti i Huazimit të Kohës</w:t>
      </w:r>
    </w:p>
    <w:p>
      <w:pPr>
        <w:spacing w:after="60"/>
        <w:ind w:left="283"/>
      </w:pPr>
      <w:r>
        <w:rPr>
          <w:rFonts w:ascii="Calibri" w:hAnsi="Calibri"/>
          <w:b/>
          <w:sz w:val="20"/>
        </w:rPr>
        <w:t xml:space="preserve">TDRW: </w:t>
      </w:r>
      <w:r>
        <w:rPr>
          <w:rFonts w:ascii="Calibri" w:hAnsi="Calibri"/>
          <w:sz w:val="20"/>
        </w:rPr>
        <w:t>Dritarja e Rimarrjes së Borxhit Kohor (TDRW) — ekuacioni i periudhës së ngrirjes për pastajuesit pjesërisht</w:t>
      </w:r>
    </w:p>
    <w:p>
      <w:pPr>
        <w:spacing w:after="60"/>
        <w:ind w:left="283"/>
      </w:pPr>
      <w:r>
        <w:rPr>
          <w:rFonts w:ascii="Calibri" w:hAnsi="Calibri"/>
          <w:b/>
          <w:sz w:val="20"/>
        </w:rPr>
        <w:t xml:space="preserve">FreeOne: </w:t>
      </w:r>
      <w:r>
        <w:rPr>
          <w:rFonts w:ascii="Calibri" w:hAnsi="Calibri"/>
          <w:sz w:val="20"/>
        </w:rPr>
        <w:t>Qytetarë jo në punësim formal: studentë, pensionistë, NEET, të papunë (50% e popullsisë)</w:t>
      </w:r>
    </w:p>
    <w:p>
      <w:pPr>
        <w:spacing w:after="60"/>
        <w:ind w:left="283"/>
      </w:pPr>
      <w:r>
        <w:rPr>
          <w:rFonts w:ascii="Calibri" w:hAnsi="Calibri"/>
          <w:b/>
          <w:sz w:val="20"/>
        </w:rPr>
        <w:t xml:space="preserve">Producer: </w:t>
      </w:r>
      <w:r>
        <w:rPr>
          <w:rFonts w:ascii="Calibri" w:hAnsi="Calibri"/>
          <w:sz w:val="20"/>
        </w:rPr>
        <w:t>Qytetarë në punësim formal ose vetëpunësim (40% e popullsisë)</w:t>
      </w:r>
    </w:p>
    <w:p>
      <w:pPr>
        <w:spacing w:after="60"/>
        <w:ind w:left="283"/>
      </w:pPr>
      <w:r>
        <w:rPr>
          <w:rFonts w:ascii="Calibri" w:hAnsi="Calibri"/>
          <w:b/>
          <w:sz w:val="20"/>
        </w:rPr>
        <w:t xml:space="preserve">Government: </w:t>
      </w:r>
      <w:r>
        <w:rPr>
          <w:rFonts w:ascii="Calibri" w:hAnsi="Calibri"/>
          <w:sz w:val="20"/>
        </w:rPr>
        <w:t>Punëtorë sektori publik, nëpunës civilë, staf bankë qendrore (10% e popullsisë)</w:t>
      </w:r>
    </w:p>
    <w:p>
      <w:pPr>
        <w:spacing w:after="60"/>
        <w:ind w:left="283"/>
      </w:pPr>
      <w:r>
        <w:rPr>
          <w:rFonts w:ascii="Calibri" w:hAnsi="Calibri"/>
          <w:b/>
          <w:sz w:val="20"/>
        </w:rPr>
        <w:t xml:space="preserve">Consumer: </w:t>
      </w:r>
      <w:r>
        <w:rPr>
          <w:rFonts w:ascii="Calibri" w:hAnsi="Calibri"/>
          <w:sz w:val="20"/>
        </w:rPr>
        <w:t>Kategori universale — të gjithë qytetarët konsumojnë (100%)</w:t>
      </w:r>
    </w:p>
    <w:p>
      <w:pPr>
        <w:spacing w:after="60"/>
        <w:ind w:left="283"/>
      </w:pPr>
      <w:r>
        <w:rPr>
          <w:rFonts w:ascii="Calibri" w:hAnsi="Calibri"/>
          <w:b/>
          <w:sz w:val="20"/>
        </w:rPr>
        <w:t xml:space="preserve">MPC: </w:t>
      </w:r>
      <w:r>
        <w:rPr>
          <w:rFonts w:ascii="Calibri" w:hAnsi="Calibri"/>
          <w:sz w:val="20"/>
        </w:rPr>
        <w:t>Propozimi për të konsumuar marginalisht — pjesa e të ardhurave shtesë të shpenzuara (mes. OECD: 0,45)</w:t>
      </w:r>
    </w:p>
    <w:p>
      <w:pPr>
        <w:spacing w:after="60"/>
        <w:ind w:left="283"/>
      </w:pPr>
      <w:r>
        <w:rPr>
          <w:rFonts w:ascii="Calibri" w:hAnsi="Calibri"/>
          <w:b/>
          <w:sz w:val="20"/>
        </w:rPr>
        <w:t xml:space="preserve">TFP: </w:t>
      </w:r>
      <w:r>
        <w:rPr>
          <w:rFonts w:ascii="Calibri" w:hAnsi="Calibri"/>
          <w:sz w:val="20"/>
        </w:rPr>
        <w:t>Produktiviteti total i faktorëve (TFP) — rritja reziduale e prodhimit e pashpjeguar nga kapitali ose puna</w:t>
      </w:r>
    </w:p>
    <w:p>
      <w:pPr>
        <w:spacing w:after="60"/>
        <w:ind w:left="283"/>
      </w:pPr>
      <w:r>
        <w:rPr>
          <w:rFonts w:ascii="Calibri" w:hAnsi="Calibri"/>
          <w:b/>
          <w:sz w:val="20"/>
        </w:rPr>
        <w:t xml:space="preserve">Taylor Rule: </w:t>
      </w:r>
      <w:r>
        <w:rPr>
          <w:rFonts w:ascii="Calibri" w:hAnsi="Calibri"/>
          <w:sz w:val="20"/>
        </w:rPr>
        <w:t>Formula e bankës qendrore që lidh normat e interesit me inflacionin dhe hendekët e prodhimit</w:t>
      </w:r>
    </w:p>
    <w:p>
      <w:pPr>
        <w:spacing w:after="60"/>
        <w:ind w:left="283"/>
      </w:pPr>
      <w:r>
        <w:rPr>
          <w:rFonts w:ascii="Calibri" w:hAnsi="Calibri"/>
          <w:b/>
          <w:sz w:val="20"/>
        </w:rPr>
        <w:t xml:space="preserve">Solow Model: </w:t>
      </w:r>
      <w:r>
        <w:rPr>
          <w:rFonts w:ascii="Calibri" w:hAnsi="Calibri"/>
          <w:sz w:val="20"/>
        </w:rPr>
        <w:t>Model rritjeje që dekompozon rritjen e PBB-së në kapital, punë dhe produktivitet</w:t>
      </w:r>
    </w:p>
    <w:p>
      <w:pPr>
        <w:spacing w:after="60"/>
        <w:ind w:left="283"/>
      </w:pPr>
      <w:r>
        <w:rPr>
          <w:rFonts w:ascii="Calibri" w:hAnsi="Calibri"/>
          <w:b/>
          <w:sz w:val="20"/>
        </w:rPr>
        <w:t xml:space="preserve">QTM: </w:t>
      </w:r>
      <w:r>
        <w:rPr>
          <w:rFonts w:ascii="Calibri" w:hAnsi="Calibri"/>
          <w:sz w:val="20"/>
        </w:rPr>
        <w:t>Teoria e sasisë së parave: MV = PY → inflacioni ≈ rritja e parave minus rritja e prodhimit</w:t>
      </w:r>
    </w:p>
    <w:p>
      <w:pPr>
        <w:spacing w:after="60"/>
        <w:ind w:left="283"/>
      </w:pPr>
      <w:r>
        <w:rPr>
          <w:rFonts w:ascii="Calibri" w:hAnsi="Calibri"/>
          <w:b/>
          <w:sz w:val="20"/>
        </w:rPr>
        <w:t xml:space="preserve">Okun's Law: </w:t>
      </w:r>
      <w:r>
        <w:rPr>
          <w:rFonts w:ascii="Calibri" w:hAnsi="Calibri"/>
          <w:sz w:val="20"/>
        </w:rPr>
        <w:t>Lidhje empirike midis normës së papunësisë dhe rritjes së PBB-së</w:t>
      </w:r>
    </w:p>
    <w:p>
      <w:pPr>
        <w:spacing w:after="60"/>
        <w:ind w:left="283"/>
      </w:pPr>
      <w:r>
        <w:rPr>
          <w:rFonts w:ascii="Calibri" w:hAnsi="Calibri"/>
          <w:b/>
          <w:sz w:val="20"/>
        </w:rPr>
        <w:t xml:space="preserve">Mincer Equation: </w:t>
      </w:r>
      <w:r>
        <w:rPr>
          <w:rFonts w:ascii="Calibri" w:hAnsi="Calibri"/>
          <w:sz w:val="20"/>
        </w:rPr>
        <w:t>Model kapitali njerëzor që lidh vitet e arsimit me premiumin e pagës</w:t>
      </w:r>
    </w:p>
    <w:p>
      <w:pPr>
        <w:spacing w:after="60"/>
        <w:ind w:left="283"/>
      </w:pPr>
      <w:r>
        <w:rPr>
          <w:rFonts w:ascii="Calibri" w:hAnsi="Calibri"/>
          <w:b/>
          <w:sz w:val="20"/>
        </w:rPr>
        <w:t xml:space="preserve">Automation Tax: </w:t>
      </w:r>
      <w:r>
        <w:rPr>
          <w:rFonts w:ascii="Calibri" w:hAnsi="Calibri"/>
          <w:sz w:val="20"/>
        </w:rPr>
        <w:t>Taksë e dedikuar mbi vlerën e prodhimit AI/automatizim — të ardhura kryesore e fondit TB</w:t>
      </w:r>
    </w:p>
    <w:p>
      <w:pPr>
        <w:spacing w:after="60"/>
        <w:ind w:left="283"/>
      </w:pPr>
      <w:r>
        <w:rPr>
          <w:rFonts w:ascii="Calibri" w:hAnsi="Calibri"/>
          <w:b/>
          <w:sz w:val="20"/>
        </w:rPr>
        <w:t xml:space="preserve">Pool Reserve Floor: </w:t>
      </w:r>
      <w:r>
        <w:rPr>
          <w:rFonts w:ascii="Calibri" w:hAnsi="Calibri"/>
          <w:sz w:val="20"/>
        </w:rPr>
        <w:t>Minimum 20% e fondit që nuk mund të depozitohet — buffer sigurie kundër goditjeve</w:t>
      </w:r>
    </w:p>
    <w:p>
      <w:r>
        <w:br w:type="page"/>
      </w:r>
    </w:p>
    <w:p>
      <w:pPr>
        <w:spacing w:before="240" w:after="120"/>
        <w:jc w:val="left"/>
      </w:pPr>
      <w:r>
        <w:rPr>
          <w:rFonts w:ascii="Calibri" w:hAnsi="Calibri"/>
          <w:b/>
          <w:color w:val="1A375E"/>
          <w:sz w:val="36"/>
        </w:rPr>
        <w:t>Shtojca B — Ekuacionet ekonomike kryesore të përdorura</w:t>
      </w:r>
    </w:p>
    <w:p>
      <w:pPr>
        <w:spacing w:before="80" w:after="80"/>
        <w:pBdr>
          <w:bottom w:val="single" w:sz="6" w:space="1" w:color="007A87"/>
        </w:pBdr>
      </w:pPr>
    </w:p>
    <w:p>
      <w:pPr>
        <w:spacing w:after="80" w:before="0"/>
      </w:pPr>
      <w:r>
        <w:rPr>
          <w:rFonts w:ascii="Calibri" w:hAnsi="Calibri"/>
          <w:b w:val="0"/>
          <w:i w:val="0"/>
          <w:sz w:val="21"/>
        </w:rPr>
        <w:t>Të gjitha ekuacionet janë të testuara individualisht si njësi. Burimet jepen për secilin.</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1A375E"/>
          </w:tcPr>
          <w:p>
            <w:pPr>
              <w:jc w:val="center"/>
            </w:pPr>
            <w:r>
              <w:rPr>
                <w:rFonts w:ascii="Calibri" w:hAnsi="Calibri"/>
                <w:b/>
                <w:color w:val="FFFFFF"/>
                <w:sz w:val="19"/>
              </w:rPr>
              <w:t>Ekuacioni</w:t>
            </w:r>
          </w:p>
        </w:tc>
        <w:tc>
          <w:tcPr>
            <w:tcW w:type="dxa" w:w="3022"/>
            <w:shd w:val="clear" w:color="auto" w:fill="1A375E"/>
          </w:tcPr>
          <w:p>
            <w:pPr>
              <w:jc w:val="center"/>
            </w:pPr>
            <w:r>
              <w:rPr>
                <w:rFonts w:ascii="Calibri" w:hAnsi="Calibri"/>
                <w:b/>
                <w:color w:val="FFFFFF"/>
                <w:sz w:val="19"/>
              </w:rPr>
              <w:t>Formula</w:t>
            </w:r>
          </w:p>
        </w:tc>
        <w:tc>
          <w:tcPr>
            <w:tcW w:type="dxa" w:w="3022"/>
            <w:shd w:val="clear" w:color="auto" w:fill="1A375E"/>
          </w:tcPr>
          <w:p>
            <w:pPr>
              <w:jc w:val="center"/>
            </w:pPr>
            <w:r>
              <w:rPr>
                <w:rFonts w:ascii="Calibri" w:hAnsi="Calibri"/>
                <w:b/>
                <w:color w:val="FFFFFF"/>
                <w:sz w:val="19"/>
              </w:rPr>
              <w:t>Burimi</w:t>
            </w:r>
          </w:p>
        </w:tc>
      </w:tr>
      <w:tr>
        <w:tc>
          <w:tcPr>
            <w:tcW w:type="dxa" w:w="3022"/>
          </w:tcPr>
          <w:p>
            <w:pPr>
              <w:jc w:val="left"/>
            </w:pPr>
            <w:r>
              <w:rPr>
                <w:rFonts w:ascii="Calibri" w:hAnsi="Calibri"/>
                <w:sz w:val="19"/>
              </w:rPr>
              <w:t>Teoria e sasisë së parave</w:t>
            </w:r>
          </w:p>
        </w:tc>
        <w:tc>
          <w:tcPr>
            <w:tcW w:type="dxa" w:w="3022"/>
          </w:tcPr>
          <w:p>
            <w:pPr>
              <w:jc w:val="center"/>
            </w:pPr>
            <w:r>
              <w:rPr>
                <w:rFonts w:ascii="Calibri" w:hAnsi="Calibri"/>
                <w:sz w:val="19"/>
              </w:rPr>
              <w:t>π ≈ ΔM/M − ΔY/Y</w:t>
            </w:r>
          </w:p>
        </w:tc>
        <w:tc>
          <w:tcPr>
            <w:tcW w:type="dxa" w:w="3022"/>
          </w:tcPr>
          <w:p>
            <w:pPr>
              <w:jc w:val="center"/>
            </w:pPr>
            <w:r>
              <w:rPr>
                <w:rFonts w:ascii="Calibri" w:hAnsi="Calibri"/>
                <w:sz w:val="19"/>
              </w:rPr>
              <w:t>Fisher (1911)</w:t>
            </w:r>
          </w:p>
        </w:tc>
      </w:tr>
      <w:tr>
        <w:tc>
          <w:tcPr>
            <w:tcW w:type="dxa" w:w="3022"/>
            <w:shd w:val="clear" w:color="auto" w:fill="EEF3FA"/>
          </w:tcPr>
          <w:p>
            <w:pPr>
              <w:jc w:val="left"/>
            </w:pPr>
            <w:r>
              <w:rPr>
                <w:rFonts w:ascii="Calibri" w:hAnsi="Calibri"/>
                <w:sz w:val="19"/>
              </w:rPr>
              <w:t>Shumëzuesi keynesian i shpenzimeve</w:t>
            </w:r>
          </w:p>
        </w:tc>
        <w:tc>
          <w:tcPr>
            <w:tcW w:type="dxa" w:w="3022"/>
            <w:shd w:val="clear" w:color="auto" w:fill="EEF3FA"/>
          </w:tcPr>
          <w:p>
            <w:pPr>
              <w:jc w:val="center"/>
            </w:pPr>
            <w:r>
              <w:rPr>
                <w:rFonts w:ascii="Calibri" w:hAnsi="Calibri"/>
                <w:sz w:val="19"/>
              </w:rPr>
              <w:t>k = 1 / MPS = 1 / (1 − MPC)</w:t>
            </w:r>
          </w:p>
        </w:tc>
        <w:tc>
          <w:tcPr>
            <w:tcW w:type="dxa" w:w="3022"/>
            <w:shd w:val="clear" w:color="auto" w:fill="EEF3FA"/>
          </w:tcPr>
          <w:p>
            <w:pPr>
              <w:jc w:val="center"/>
            </w:pPr>
            <w:r>
              <w:rPr>
                <w:rFonts w:ascii="Calibri" w:hAnsi="Calibri"/>
                <w:sz w:val="19"/>
              </w:rPr>
              <w:t>Keynes (1936)</w:t>
            </w:r>
          </w:p>
        </w:tc>
      </w:tr>
      <w:tr>
        <w:tc>
          <w:tcPr>
            <w:tcW w:type="dxa" w:w="3022"/>
          </w:tcPr>
          <w:p>
            <w:pPr>
              <w:jc w:val="left"/>
            </w:pPr>
            <w:r>
              <w:rPr>
                <w:rFonts w:ascii="Calibri" w:hAnsi="Calibri"/>
                <w:sz w:val="19"/>
              </w:rPr>
              <w:t>Rregulla Taylor</w:t>
            </w:r>
          </w:p>
        </w:tc>
        <w:tc>
          <w:tcPr>
            <w:tcW w:type="dxa" w:w="3022"/>
          </w:tcPr>
          <w:p>
            <w:pPr>
              <w:jc w:val="center"/>
            </w:pPr>
            <w:r>
              <w:rPr>
                <w:rFonts w:ascii="Calibri" w:hAnsi="Calibri"/>
                <w:sz w:val="19"/>
              </w:rPr>
              <w:t>i = r* + π + 0.5(π − π*) + 0.5·y_gap</w:t>
            </w:r>
          </w:p>
        </w:tc>
        <w:tc>
          <w:tcPr>
            <w:tcW w:type="dxa" w:w="3022"/>
          </w:tcPr>
          <w:p>
            <w:pPr>
              <w:jc w:val="center"/>
            </w:pPr>
            <w:r>
              <w:rPr>
                <w:rFonts w:ascii="Calibri" w:hAnsi="Calibri"/>
                <w:sz w:val="19"/>
              </w:rPr>
              <w:t>Taylor (1993)</w:t>
            </w:r>
          </w:p>
        </w:tc>
      </w:tr>
      <w:tr>
        <w:tc>
          <w:tcPr>
            <w:tcW w:type="dxa" w:w="3022"/>
            <w:shd w:val="clear" w:color="auto" w:fill="EEF3FA"/>
          </w:tcPr>
          <w:p>
            <w:pPr>
              <w:jc w:val="left"/>
            </w:pPr>
            <w:r>
              <w:rPr>
                <w:rFonts w:ascii="Calibri" w:hAnsi="Calibri"/>
                <w:sz w:val="19"/>
              </w:rPr>
              <w:t>Rritja Solow</w:t>
            </w:r>
          </w:p>
        </w:tc>
        <w:tc>
          <w:tcPr>
            <w:tcW w:type="dxa" w:w="3022"/>
            <w:shd w:val="clear" w:color="auto" w:fill="EEF3FA"/>
          </w:tcPr>
          <w:p>
            <w:pPr>
              <w:jc w:val="center"/>
            </w:pPr>
            <w:r>
              <w:rPr>
                <w:rFonts w:ascii="Calibri" w:hAnsi="Calibri"/>
                <w:sz w:val="19"/>
              </w:rPr>
              <w:t>g_Y = g_A + α·g_K + (1−α)·g_L</w:t>
            </w:r>
          </w:p>
        </w:tc>
        <w:tc>
          <w:tcPr>
            <w:tcW w:type="dxa" w:w="3022"/>
            <w:shd w:val="clear" w:color="auto" w:fill="EEF3FA"/>
          </w:tcPr>
          <w:p>
            <w:pPr>
              <w:jc w:val="center"/>
            </w:pPr>
            <w:r>
              <w:rPr>
                <w:rFonts w:ascii="Calibri" w:hAnsi="Calibri"/>
                <w:sz w:val="19"/>
              </w:rPr>
              <w:t>Solow (1956)</w:t>
            </w:r>
          </w:p>
        </w:tc>
      </w:tr>
      <w:tr>
        <w:tc>
          <w:tcPr>
            <w:tcW w:type="dxa" w:w="3022"/>
          </w:tcPr>
          <w:p>
            <w:pPr>
              <w:jc w:val="left"/>
            </w:pPr>
            <w:r>
              <w:rPr>
                <w:rFonts w:ascii="Calibri" w:hAnsi="Calibri"/>
                <w:sz w:val="19"/>
              </w:rPr>
              <w:t>Ligji i Okun-it</w:t>
            </w:r>
          </w:p>
        </w:tc>
        <w:tc>
          <w:tcPr>
            <w:tcW w:type="dxa" w:w="3022"/>
          </w:tcPr>
          <w:p>
            <w:pPr>
              <w:jc w:val="center"/>
            </w:pPr>
            <w:r>
              <w:rPr>
                <w:rFonts w:ascii="Calibri" w:hAnsi="Calibri"/>
                <w:sz w:val="19"/>
              </w:rPr>
              <w:t>Δu = −β·(g_Y − g_Y*)</w:t>
            </w:r>
          </w:p>
        </w:tc>
        <w:tc>
          <w:tcPr>
            <w:tcW w:type="dxa" w:w="3022"/>
          </w:tcPr>
          <w:p>
            <w:pPr>
              <w:jc w:val="center"/>
            </w:pPr>
            <w:r>
              <w:rPr>
                <w:rFonts w:ascii="Calibri" w:hAnsi="Calibri"/>
                <w:sz w:val="19"/>
              </w:rPr>
              <w:t>Okun (1962)</w:t>
            </w:r>
          </w:p>
        </w:tc>
      </w:tr>
      <w:tr>
        <w:tc>
          <w:tcPr>
            <w:tcW w:type="dxa" w:w="3022"/>
            <w:shd w:val="clear" w:color="auto" w:fill="EEF3FA"/>
          </w:tcPr>
          <w:p>
            <w:pPr>
              <w:jc w:val="left"/>
            </w:pPr>
            <w:r>
              <w:rPr>
                <w:rFonts w:ascii="Calibri" w:hAnsi="Calibri"/>
                <w:sz w:val="19"/>
              </w:rPr>
              <w:t>Ekuacioni Fisher</w:t>
            </w:r>
          </w:p>
        </w:tc>
        <w:tc>
          <w:tcPr>
            <w:tcW w:type="dxa" w:w="3022"/>
            <w:shd w:val="clear" w:color="auto" w:fill="EEF3FA"/>
          </w:tcPr>
          <w:p>
            <w:pPr>
              <w:jc w:val="center"/>
            </w:pPr>
            <w:r>
              <w:rPr>
                <w:rFonts w:ascii="Calibri" w:hAnsi="Calibri"/>
                <w:sz w:val="19"/>
              </w:rPr>
              <w:t>r ≈ i − π  (ekzakte: r = (1+i)/(1+π) − 1)</w:t>
            </w:r>
          </w:p>
        </w:tc>
        <w:tc>
          <w:tcPr>
            <w:tcW w:type="dxa" w:w="3022"/>
            <w:shd w:val="clear" w:color="auto" w:fill="EEF3FA"/>
          </w:tcPr>
          <w:p>
            <w:pPr>
              <w:jc w:val="center"/>
            </w:pPr>
            <w:r>
              <w:rPr>
                <w:rFonts w:ascii="Calibri" w:hAnsi="Calibri"/>
                <w:sz w:val="19"/>
              </w:rPr>
              <w:t>Fisher (1930)</w:t>
            </w:r>
          </w:p>
        </w:tc>
      </w:tr>
      <w:tr>
        <w:tc>
          <w:tcPr>
            <w:tcW w:type="dxa" w:w="3022"/>
          </w:tcPr>
          <w:p>
            <w:pPr>
              <w:jc w:val="left"/>
            </w:pPr>
            <w:r>
              <w:rPr>
                <w:rFonts w:ascii="Calibri" w:hAnsi="Calibri"/>
                <w:sz w:val="19"/>
              </w:rPr>
              <w:t>Kapitali njerëzor Mincer</w:t>
            </w:r>
          </w:p>
        </w:tc>
        <w:tc>
          <w:tcPr>
            <w:tcW w:type="dxa" w:w="3022"/>
          </w:tcPr>
          <w:p>
            <w:pPr>
              <w:jc w:val="center"/>
            </w:pPr>
            <w:r>
              <w:rPr>
                <w:rFonts w:ascii="Calibri" w:hAnsi="Calibri"/>
                <w:sz w:val="19"/>
              </w:rPr>
              <w:t>ln(w) = a + b·education + c·experience</w:t>
            </w:r>
          </w:p>
        </w:tc>
        <w:tc>
          <w:tcPr>
            <w:tcW w:type="dxa" w:w="3022"/>
          </w:tcPr>
          <w:p>
            <w:pPr>
              <w:jc w:val="center"/>
            </w:pPr>
            <w:r>
              <w:rPr>
                <w:rFonts w:ascii="Calibri" w:hAnsi="Calibri"/>
                <w:sz w:val="19"/>
              </w:rPr>
              <w:t>Mincer (1974)</w:t>
            </w:r>
          </w:p>
        </w:tc>
      </w:tr>
      <w:tr>
        <w:tc>
          <w:tcPr>
            <w:tcW w:type="dxa" w:w="3022"/>
            <w:shd w:val="clear" w:color="auto" w:fill="EEF3FA"/>
          </w:tcPr>
          <w:p>
            <w:pPr>
              <w:jc w:val="left"/>
            </w:pPr>
            <w:r>
              <w:rPr>
                <w:rFonts w:ascii="Calibri" w:hAnsi="Calibri"/>
                <w:sz w:val="19"/>
              </w:rPr>
              <w:t>Periudha e ngrirjes TDRW</w:t>
            </w:r>
          </w:p>
        </w:tc>
        <w:tc>
          <w:tcPr>
            <w:tcW w:type="dxa" w:w="3022"/>
            <w:shd w:val="clear" w:color="auto" w:fill="EEF3FA"/>
          </w:tcPr>
          <w:p>
            <w:pPr>
              <w:jc w:val="center"/>
            </w:pPr>
            <w:r>
              <w:rPr>
                <w:rFonts w:ascii="Calibri" w:hAnsi="Calibri"/>
                <w:sz w:val="19"/>
              </w:rPr>
              <w:t>F = F_base × severity × (1+d·k) × T/T_ref</w:t>
            </w:r>
          </w:p>
        </w:tc>
        <w:tc>
          <w:tcPr>
            <w:tcW w:type="dxa" w:w="3022"/>
            <w:shd w:val="clear" w:color="auto" w:fill="EEF3FA"/>
          </w:tcPr>
          <w:p>
            <w:pPr>
              <w:jc w:val="center"/>
            </w:pPr>
            <w:r>
              <w:rPr>
                <w:rFonts w:ascii="Calibri" w:hAnsi="Calibri"/>
                <w:sz w:val="19"/>
              </w:rPr>
              <w:t>I ri (TBI)</w:t>
            </w:r>
          </w:p>
        </w:tc>
      </w:tr>
      <w:tr>
        <w:tc>
          <w:tcPr>
            <w:tcW w:type="dxa" w:w="3022"/>
          </w:tcPr>
          <w:p>
            <w:pPr>
              <w:jc w:val="left"/>
            </w:pPr>
            <w:r>
              <w:rPr>
                <w:rFonts w:ascii="Calibri" w:hAnsi="Calibri"/>
                <w:sz w:val="19"/>
              </w:rPr>
              <w:t>Shuma e avancit TB</w:t>
            </w:r>
          </w:p>
        </w:tc>
        <w:tc>
          <w:tcPr>
            <w:tcW w:type="dxa" w:w="3022"/>
          </w:tcPr>
          <w:p>
            <w:pPr>
              <w:jc w:val="center"/>
            </w:pPr>
            <w:r>
              <w:rPr>
                <w:rFonts w:ascii="Calibri" w:hAnsi="Calibri"/>
                <w:sz w:val="19"/>
              </w:rPr>
              <w:t>A = min(requested, A_max, pool_share)</w:t>
            </w:r>
          </w:p>
        </w:tc>
        <w:tc>
          <w:tcPr>
            <w:tcW w:type="dxa" w:w="3022"/>
          </w:tcPr>
          <w:p>
            <w:pPr>
              <w:jc w:val="center"/>
            </w:pPr>
            <w:r>
              <w:rPr>
                <w:rFonts w:ascii="Calibri" w:hAnsi="Calibri"/>
                <w:sz w:val="19"/>
              </w:rPr>
              <w:t>I ri (TBI)</w:t>
            </w:r>
          </w:p>
        </w:tc>
      </w:tr>
      <w:tr>
        <w:tc>
          <w:tcPr>
            <w:tcW w:type="dxa" w:w="3022"/>
            <w:shd w:val="clear" w:color="auto" w:fill="EEF3FA"/>
          </w:tcPr>
          <w:p>
            <w:pPr>
              <w:jc w:val="left"/>
            </w:pPr>
            <w:r>
              <w:rPr>
                <w:rFonts w:ascii="Calibri" w:hAnsi="Calibri"/>
                <w:sz w:val="19"/>
              </w:rPr>
              <w:t>Dinamika e fondit TB</w:t>
            </w:r>
          </w:p>
        </w:tc>
        <w:tc>
          <w:tcPr>
            <w:tcW w:type="dxa" w:w="3022"/>
            <w:shd w:val="clear" w:color="auto" w:fill="EEF3FA"/>
          </w:tcPr>
          <w:p>
            <w:pPr>
              <w:jc w:val="center"/>
            </w:pPr>
            <w:r>
              <w:rPr>
                <w:rFonts w:ascii="Calibri" w:hAnsi="Calibri"/>
                <w:sz w:val="19"/>
              </w:rPr>
              <w:t>P(t+1) = P(t) + tax_in + repayments − advances − losses</w:t>
            </w:r>
          </w:p>
        </w:tc>
        <w:tc>
          <w:tcPr>
            <w:tcW w:type="dxa" w:w="3022"/>
            <w:shd w:val="clear" w:color="auto" w:fill="EEF3FA"/>
          </w:tcPr>
          <w:p>
            <w:pPr>
              <w:jc w:val="center"/>
            </w:pPr>
            <w:r>
              <w:rPr>
                <w:rFonts w:ascii="Calibri" w:hAnsi="Calibri"/>
                <w:sz w:val="19"/>
              </w:rPr>
              <w:t>I ri (TBI)</w:t>
            </w:r>
          </w:p>
        </w:tc>
      </w:tr>
      <w:tr>
        <w:tc>
          <w:tcPr>
            <w:tcW w:type="dxa" w:w="3022"/>
          </w:tcPr>
          <w:p>
            <w:pPr>
              <w:jc w:val="left"/>
            </w:pPr>
            <w:r>
              <w:rPr>
                <w:rFonts w:ascii="Calibri" w:hAnsi="Calibri"/>
                <w:sz w:val="19"/>
              </w:rPr>
              <w:t>Të ardhurat nga taksa e automatizimit</w:t>
            </w:r>
          </w:p>
        </w:tc>
        <w:tc>
          <w:tcPr>
            <w:tcW w:type="dxa" w:w="3022"/>
          </w:tcPr>
          <w:p>
            <w:pPr>
              <w:jc w:val="center"/>
            </w:pPr>
            <w:r>
              <w:rPr>
                <w:rFonts w:ascii="Calibri" w:hAnsi="Calibri"/>
                <w:sz w:val="19"/>
              </w:rPr>
              <w:t>T_auto(t) = base_output × (1+g)^t × tax_rate</w:t>
            </w:r>
          </w:p>
        </w:tc>
        <w:tc>
          <w:tcPr>
            <w:tcW w:type="dxa" w:w="3022"/>
          </w:tcPr>
          <w:p>
            <w:pPr>
              <w:jc w:val="center"/>
            </w:pPr>
            <w:r>
              <w:rPr>
                <w:rFonts w:ascii="Calibri" w:hAnsi="Calibri"/>
                <w:sz w:val="19"/>
              </w:rPr>
              <w:t>I ri (TBI)</w:t>
            </w:r>
          </w:p>
        </w:tc>
      </w:tr>
      <w:tr>
        <w:tc>
          <w:tcPr>
            <w:tcW w:type="dxa" w:w="3022"/>
            <w:shd w:val="clear" w:color="auto" w:fill="EEF3FA"/>
          </w:tcPr>
          <w:p>
            <w:pPr>
              <w:jc w:val="left"/>
            </w:pPr>
            <w:r>
              <w:rPr>
                <w:rFonts w:ascii="Calibri" w:hAnsi="Calibri"/>
                <w:sz w:val="19"/>
              </w:rPr>
              <w:t>Rritja logjistike e popullsisë</w:t>
            </w:r>
          </w:p>
        </w:tc>
        <w:tc>
          <w:tcPr>
            <w:tcW w:type="dxa" w:w="3022"/>
            <w:shd w:val="clear" w:color="auto" w:fill="EEF3FA"/>
          </w:tcPr>
          <w:p>
            <w:pPr>
              <w:jc w:val="center"/>
            </w:pPr>
            <w:r>
              <w:rPr>
                <w:rFonts w:ascii="Calibri" w:hAnsi="Calibri"/>
                <w:sz w:val="19"/>
              </w:rPr>
              <w:t>ΔN = r·N·(1 − N/K)</w:t>
            </w:r>
          </w:p>
        </w:tc>
        <w:tc>
          <w:tcPr>
            <w:tcW w:type="dxa" w:w="3022"/>
            <w:shd w:val="clear" w:color="auto" w:fill="EEF3FA"/>
          </w:tcPr>
          <w:p>
            <w:pPr>
              <w:jc w:val="center"/>
            </w:pPr>
            <w:r>
              <w:rPr>
                <w:rFonts w:ascii="Calibri" w:hAnsi="Calibri"/>
                <w:sz w:val="19"/>
              </w:rPr>
              <w:t>Verhulst (1838)</w:t>
            </w:r>
          </w:p>
        </w:tc>
      </w:tr>
      <w:tr>
        <w:tc>
          <w:tcPr>
            <w:tcW w:type="dxa" w:w="3022"/>
          </w:tcPr>
          <w:p>
            <w:pPr>
              <w:jc w:val="left"/>
            </w:pPr>
            <w:r>
              <w:rPr>
                <w:rFonts w:ascii="Calibri" w:hAnsi="Calibri"/>
                <w:sz w:val="19"/>
              </w:rPr>
              <w:t>Të ardhurat e kurbës Laffer</w:t>
            </w:r>
          </w:p>
        </w:tc>
        <w:tc>
          <w:tcPr>
            <w:tcW w:type="dxa" w:w="3022"/>
          </w:tcPr>
          <w:p>
            <w:pPr>
              <w:jc w:val="center"/>
            </w:pPr>
            <w:r>
              <w:rPr>
                <w:rFonts w:ascii="Calibri" w:hAnsi="Calibri"/>
                <w:sz w:val="19"/>
              </w:rPr>
              <w:t>R(τ) = τ · Y₀ · (1 − τ/τ_peak)²</w:t>
            </w:r>
          </w:p>
        </w:tc>
        <w:tc>
          <w:tcPr>
            <w:tcW w:type="dxa" w:w="3022"/>
          </w:tcPr>
          <w:p>
            <w:pPr>
              <w:jc w:val="center"/>
            </w:pPr>
            <w:r>
              <w:rPr>
                <w:rFonts w:ascii="Calibri" w:hAnsi="Calibri"/>
                <w:sz w:val="19"/>
              </w:rPr>
              <w:t>Laffer (1974)</w:t>
            </w:r>
          </w:p>
        </w:tc>
      </w:tr>
    </w:tbl>
    <w:p>
      <w:pPr>
        <w:spacing w:after="80"/>
      </w:pP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