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C5AB" w14:textId="77777777" w:rsidR="00BE08E0" w:rsidRPr="00E651AC" w:rsidRDefault="00BE08E0" w:rsidP="00BE08E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3639417"/>
      <w:r w:rsidRPr="00E651AC">
        <w:rPr>
          <w:rFonts w:ascii="Times New Roman" w:hAnsi="Times New Roman" w:cs="Times New Roman"/>
          <w:b/>
          <w:bCs/>
          <w:sz w:val="32"/>
          <w:szCs w:val="32"/>
        </w:rPr>
        <w:t xml:space="preserve">Measuring urban sustainability through </w:t>
      </w:r>
      <w:r>
        <w:rPr>
          <w:rFonts w:ascii="Times New Roman" w:hAnsi="Times New Roman" w:cs="Times New Roman"/>
          <w:b/>
          <w:bCs/>
          <w:sz w:val="32"/>
          <w:szCs w:val="32"/>
        </w:rPr>
        <w:t>the co-</w:t>
      </w:r>
      <w:r w:rsidRPr="00E651AC">
        <w:rPr>
          <w:rFonts w:ascii="Times New Roman" w:hAnsi="Times New Roman" w:cs="Times New Roman"/>
          <w:b/>
          <w:bCs/>
          <w:sz w:val="32"/>
          <w:szCs w:val="32"/>
        </w:rPr>
        <w:t>evolution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of unified</w:t>
      </w:r>
      <w:r w:rsidRPr="00E651AC">
        <w:rPr>
          <w:rFonts w:ascii="Times New Roman" w:hAnsi="Times New Roman" w:cs="Times New Roman"/>
          <w:b/>
          <w:bCs/>
          <w:sz w:val="32"/>
          <w:szCs w:val="32"/>
        </w:rPr>
        <w:t xml:space="preserve"> socio-environmental structures</w:t>
      </w:r>
      <w:bookmarkEnd w:id="0"/>
    </w:p>
    <w:p w14:paraId="1ADCFE60" w14:textId="77777777" w:rsidR="00BE08E0" w:rsidRPr="00E651AC" w:rsidRDefault="00BE08E0" w:rsidP="00BE08E0">
      <w:pPr>
        <w:spacing w:before="120"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51AC">
        <w:rPr>
          <w:rFonts w:ascii="Times New Roman" w:hAnsi="Times New Roman" w:cs="Times New Roman"/>
          <w:sz w:val="28"/>
          <w:szCs w:val="28"/>
        </w:rPr>
        <w:t>Xueliang</w:t>
      </w:r>
      <w:proofErr w:type="spellEnd"/>
      <w:r w:rsidRPr="00E651AC">
        <w:rPr>
          <w:rFonts w:ascii="Times New Roman" w:hAnsi="Times New Roman" w:cs="Times New Roman"/>
          <w:sz w:val="28"/>
          <w:szCs w:val="28"/>
        </w:rPr>
        <w:t xml:space="preserve"> Zhang</w:t>
      </w:r>
      <w:r w:rsidRPr="00E651A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E651AC">
        <w:rPr>
          <w:rFonts w:ascii="Times New Roman" w:hAnsi="Times New Roman" w:cs="Times New Roman"/>
          <w:sz w:val="28"/>
          <w:szCs w:val="28"/>
        </w:rPr>
        <w:t>, Yang Yang</w:t>
      </w:r>
      <w:r w:rsidRPr="00E651AC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E651AC">
        <w:rPr>
          <w:rFonts w:ascii="Times New Roman" w:hAnsi="Times New Roman" w:cs="Times New Roman"/>
          <w:sz w:val="28"/>
          <w:szCs w:val="28"/>
        </w:rPr>
        <w:t>, Yichun Xie</w:t>
      </w:r>
      <w:r w:rsidRPr="00E651AC">
        <w:rPr>
          <w:rFonts w:ascii="Times New Roman" w:hAnsi="Times New Roman" w:cs="Times New Roman"/>
          <w:sz w:val="28"/>
          <w:szCs w:val="28"/>
          <w:vertAlign w:val="superscript"/>
        </w:rPr>
        <w:t>2*</w:t>
      </w:r>
      <w:r w:rsidRPr="00E651AC">
        <w:rPr>
          <w:rFonts w:ascii="Times New Roman" w:hAnsi="Times New Roman" w:cs="Times New Roman"/>
          <w:sz w:val="28"/>
          <w:szCs w:val="28"/>
        </w:rPr>
        <w:t>, Michael Batty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651AC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51AC">
        <w:rPr>
          <w:rFonts w:ascii="Times New Roman" w:hAnsi="Times New Roman" w:cs="Times New Roman"/>
          <w:sz w:val="28"/>
          <w:szCs w:val="28"/>
        </w:rPr>
        <w:t>Zongyao</w:t>
      </w:r>
      <w:proofErr w:type="spellEnd"/>
      <w:r w:rsidRPr="00E651AC">
        <w:rPr>
          <w:rFonts w:ascii="Times New Roman" w:hAnsi="Times New Roman" w:cs="Times New Roman"/>
          <w:sz w:val="28"/>
          <w:szCs w:val="28"/>
        </w:rPr>
        <w:t xml:space="preserve"> Sha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14:paraId="2B1766C4" w14:textId="77777777" w:rsidR="00BE08E0" w:rsidRPr="007933EB" w:rsidRDefault="00BE08E0" w:rsidP="00BE08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3E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651AC">
        <w:rPr>
          <w:rFonts w:ascii="Times New Roman" w:hAnsi="Times New Roman" w:cs="Times New Roman"/>
          <w:sz w:val="24"/>
          <w:szCs w:val="24"/>
        </w:rPr>
        <w:t>School of Urban and Regional Science, Shanghai University of Finance and Economics, Shanghai, 200433 China</w:t>
      </w:r>
    </w:p>
    <w:p w14:paraId="3BCE4864" w14:textId="77777777" w:rsidR="00BE08E0" w:rsidRDefault="00BE08E0" w:rsidP="00BE08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3E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933EB">
        <w:rPr>
          <w:rFonts w:ascii="Times New Roman" w:hAnsi="Times New Roman" w:cs="Times New Roman"/>
          <w:sz w:val="24"/>
          <w:szCs w:val="24"/>
        </w:rPr>
        <w:t xml:space="preserve">Department of Geography and Geology, Eastern Michigan University, Ypsilanti, MI 48197, USA. </w:t>
      </w:r>
    </w:p>
    <w:p w14:paraId="73BC0056" w14:textId="77777777" w:rsidR="00BE08E0" w:rsidRPr="00E651AC" w:rsidRDefault="00BE08E0" w:rsidP="00BE08E0">
      <w:pPr>
        <w:shd w:val="clear" w:color="auto" w:fill="FFFFFF"/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E651AC">
        <w:rPr>
          <w:rFonts w:ascii="Times New Roman" w:eastAsia="Times New Roman" w:hAnsi="Times New Roman" w:cs="Times New Roman"/>
          <w:sz w:val="24"/>
          <w:szCs w:val="24"/>
        </w:rPr>
        <w:t>Centre for Advanced Spatial Analysis, University College London, London W1T 4TJ, UK</w:t>
      </w:r>
    </w:p>
    <w:p w14:paraId="0E65E58C" w14:textId="77777777" w:rsidR="00BE08E0" w:rsidRPr="00E651AC" w:rsidRDefault="00BE08E0" w:rsidP="00BE08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1AC">
        <w:rPr>
          <w:rFonts w:ascii="Times New Roman" w:hAnsi="Times New Roman" w:cs="Times New Roman"/>
          <w:sz w:val="24"/>
          <w:szCs w:val="24"/>
        </w:rPr>
        <w:t>School of Remote Sensing and Information Engineering,</w:t>
      </w:r>
      <w:r w:rsidRPr="007933EB">
        <w:rPr>
          <w:rFonts w:ascii="Times New Roman" w:hAnsi="Times New Roman" w:cs="Times New Roman"/>
          <w:sz w:val="24"/>
          <w:szCs w:val="24"/>
        </w:rPr>
        <w:t xml:space="preserve"> Wuhan Universit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933EB">
        <w:rPr>
          <w:rFonts w:ascii="Times New Roman" w:hAnsi="Times New Roman" w:cs="Times New Roman"/>
          <w:sz w:val="24"/>
          <w:szCs w:val="24"/>
        </w:rPr>
        <w:t>,</w:t>
      </w:r>
      <w:r w:rsidRPr="00E651AC">
        <w:rPr>
          <w:rFonts w:ascii="Times New Roman" w:hAnsi="Times New Roman" w:cs="Times New Roman"/>
          <w:sz w:val="24"/>
          <w:szCs w:val="24"/>
        </w:rPr>
        <w:t xml:space="preserve"> </w:t>
      </w:r>
      <w:r w:rsidRPr="007933EB">
        <w:rPr>
          <w:rFonts w:ascii="Times New Roman" w:hAnsi="Times New Roman" w:cs="Times New Roman"/>
          <w:sz w:val="24"/>
          <w:szCs w:val="24"/>
        </w:rPr>
        <w:t xml:space="preserve">129 </w:t>
      </w:r>
      <w:proofErr w:type="spellStart"/>
      <w:r w:rsidRPr="007933EB">
        <w:rPr>
          <w:rFonts w:ascii="Times New Roman" w:hAnsi="Times New Roman" w:cs="Times New Roman"/>
          <w:sz w:val="24"/>
          <w:szCs w:val="24"/>
        </w:rPr>
        <w:t>Luoyu</w:t>
      </w:r>
      <w:proofErr w:type="spellEnd"/>
      <w:r w:rsidRPr="007933EB">
        <w:rPr>
          <w:rFonts w:ascii="Times New Roman" w:hAnsi="Times New Roman" w:cs="Times New Roman"/>
          <w:sz w:val="24"/>
          <w:szCs w:val="24"/>
        </w:rPr>
        <w:t xml:space="preserve"> Road, Wuhan 430079, China.</w:t>
      </w:r>
    </w:p>
    <w:p w14:paraId="7623DA89" w14:textId="77777777" w:rsidR="00BE08E0" w:rsidRDefault="00BE08E0" w:rsidP="00BE08E0">
      <w:pPr>
        <w:spacing w:line="48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7933EB">
        <w:rPr>
          <w:rFonts w:ascii="Times New Roman" w:hAnsi="Times New Roman" w:cs="Times New Roman"/>
          <w:sz w:val="24"/>
          <w:szCs w:val="24"/>
        </w:rPr>
        <w:t xml:space="preserve">* Corresponding authors: </w:t>
      </w:r>
      <w:hyperlink r:id="rId4" w:history="1">
        <w:r w:rsidRPr="007933EB">
          <w:rPr>
            <w:rStyle w:val="Hyperlink"/>
            <w:rFonts w:ascii="Times New Roman" w:hAnsi="Times New Roman" w:cs="Times New Roman"/>
            <w:sz w:val="24"/>
            <w:szCs w:val="24"/>
          </w:rPr>
          <w:t>yxie@emich.edu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514E86">
          <w:rPr>
            <w:rStyle w:val="Hyperlink"/>
            <w:rFonts w:ascii="Times New Roman" w:hAnsi="Times New Roman" w:cs="Times New Roman"/>
            <w:sz w:val="24"/>
            <w:szCs w:val="24"/>
          </w:rPr>
          <w:t>m.batty@ucl.ac.uk</w:t>
        </w:r>
      </w:hyperlink>
    </w:p>
    <w:p w14:paraId="203854F5" w14:textId="2D3D500D" w:rsidR="009D6C7E" w:rsidRDefault="009D6C7E" w:rsidP="009D6C7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harisSIL" w:hAnsi="Times New Roman" w:cs="Times New Roman"/>
          <w:sz w:val="24"/>
          <w:szCs w:val="24"/>
        </w:rPr>
        <w:t xml:space="preserve">The paper illustrates how to measure the sustainable urban system characteristics from the case study of Chinese prefecture cities. 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As of 2015, there were 657 cities in China, including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municipalities directly under the central government, 293 prefecture-level cities, and 360 county-level cities. </w:t>
      </w:r>
      <w:r w:rsidRPr="006D5C1E">
        <w:rPr>
          <w:rFonts w:ascii="Times New Roman" w:hAnsi="Times New Roman" w:cs="Times New Roman"/>
          <w:sz w:val="24"/>
          <w:szCs w:val="24"/>
        </w:rPr>
        <w:t>However, comprehensive fine-scale city statistical data in China are only available at prefecture-level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In addition, </w:t>
      </w:r>
      <w:r w:rsidRPr="006D5C1E">
        <w:rPr>
          <w:rFonts w:ascii="Times New Roman" w:hAnsi="Times New Roman" w:cs="Times New Roman"/>
          <w:sz w:val="24"/>
          <w:szCs w:val="24"/>
        </w:rPr>
        <w:t>there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many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autonomous prefectures and leagues in western </w:t>
      </w:r>
      <w:r w:rsidRPr="006D5C1E">
        <w:rPr>
          <w:rFonts w:ascii="Times New Roman" w:hAnsi="Times New Roman" w:cs="Times New Roman"/>
          <w:sz w:val="24"/>
          <w:szCs w:val="24"/>
        </w:rPr>
        <w:t xml:space="preserve">and northern China. 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Although </w:t>
      </w:r>
      <w:r>
        <w:rPr>
          <w:rFonts w:ascii="Times New Roman" w:hAnsi="Times New Roman" w:cs="Times New Roman"/>
          <w:sz w:val="24"/>
          <w:szCs w:val="24"/>
        </w:rPr>
        <w:t>they</w:t>
      </w:r>
      <w:r w:rsidRPr="006D5C1E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administratively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D5C1E">
        <w:rPr>
          <w:rFonts w:ascii="Times New Roman" w:hAnsi="Times New Roman" w:cs="Times New Roman"/>
          <w:sz w:val="24"/>
          <w:szCs w:val="24"/>
        </w:rPr>
        <w:t>equivalent to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D5C1E">
        <w:rPr>
          <w:rFonts w:ascii="Times New Roman" w:hAnsi="Times New Roman" w:cs="Times New Roman" w:hint="eastAsia"/>
          <w:sz w:val="24"/>
          <w:szCs w:val="24"/>
        </w:rPr>
        <w:t>prefecture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D5C1E">
        <w:rPr>
          <w:rFonts w:ascii="Times New Roman" w:hAnsi="Times New Roman" w:cs="Times New Roman" w:hint="eastAsia"/>
          <w:sz w:val="24"/>
          <w:szCs w:val="24"/>
        </w:rPr>
        <w:t>level cities</w:t>
      </w:r>
      <w:r w:rsidRPr="006D5C1E">
        <w:rPr>
          <w:rFonts w:ascii="Times New Roman" w:hAnsi="Times New Roman" w:cs="Times New Roman"/>
          <w:sz w:val="24"/>
          <w:szCs w:val="24"/>
        </w:rPr>
        <w:t xml:space="preserve"> in eastern China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D5C1E">
        <w:rPr>
          <w:rFonts w:ascii="Times New Roman" w:hAnsi="Times New Roman" w:cs="Times New Roman" w:hint="eastAsia"/>
          <w:sz w:val="24"/>
          <w:szCs w:val="24"/>
        </w:rPr>
        <w:t>they have low urbanization rate</w:t>
      </w:r>
      <w:r w:rsidRPr="006D5C1E">
        <w:rPr>
          <w:rFonts w:ascii="Times New Roman" w:hAnsi="Times New Roman" w:cs="Times New Roman"/>
          <w:sz w:val="24"/>
          <w:szCs w:val="24"/>
        </w:rPr>
        <w:t>s, less developed economies and industries,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6D5C1E">
        <w:rPr>
          <w:rFonts w:ascii="Times New Roman" w:hAnsi="Times New Roman" w:cs="Times New Roman"/>
          <w:sz w:val="24"/>
          <w:szCs w:val="24"/>
        </w:rPr>
        <w:t>sparse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population density</w:t>
      </w:r>
      <w:r w:rsidRPr="006D5C1E">
        <w:rPr>
          <w:rFonts w:ascii="Times New Roman" w:hAnsi="Times New Roman" w:cs="Times New Roman"/>
          <w:sz w:val="24"/>
          <w:szCs w:val="24"/>
        </w:rPr>
        <w:t>. They lack statistical data appropriate for measuring urban sustainability.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D5C1E">
        <w:rPr>
          <w:rFonts w:ascii="Times New Roman" w:hAnsi="Times New Roman" w:cs="Times New Roman"/>
          <w:sz w:val="24"/>
          <w:szCs w:val="24"/>
        </w:rPr>
        <w:t xml:space="preserve">Thus, </w:t>
      </w:r>
      <w:r w:rsidRPr="006D5C1E">
        <w:rPr>
          <w:rFonts w:ascii="Times New Roman" w:hAnsi="Times New Roman" w:cs="Times New Roman" w:hint="eastAsia"/>
          <w:sz w:val="24"/>
          <w:szCs w:val="24"/>
        </w:rPr>
        <w:t>they are excluded from the</w:t>
      </w:r>
      <w:r w:rsidRPr="006D5C1E">
        <w:rPr>
          <w:rFonts w:ascii="Times New Roman" w:hAnsi="Times New Roman" w:cs="Times New Roman"/>
          <w:sz w:val="24"/>
          <w:szCs w:val="24"/>
        </w:rPr>
        <w:t xml:space="preserve"> case study</w:t>
      </w:r>
      <w:r w:rsidRPr="006D5C1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6D5C1E">
        <w:rPr>
          <w:rFonts w:ascii="Times New Roman" w:hAnsi="Times New Roman" w:cs="Times New Roman"/>
          <w:sz w:val="24"/>
          <w:szCs w:val="24"/>
        </w:rPr>
        <w:t xml:space="preserve">As a result, the final dataset includes </w:t>
      </w:r>
      <w:r w:rsidRPr="006D5C1E">
        <w:rPr>
          <w:rFonts w:ascii="Times New Roman" w:hAnsi="Times New Roman" w:cs="Times New Roman" w:hint="eastAsia"/>
          <w:sz w:val="24"/>
          <w:szCs w:val="24"/>
        </w:rPr>
        <w:t>278 prefecture-level cities, including 251 in 2000, 267 in 2005, 276 in 2010, and 278 in 201</w:t>
      </w:r>
      <w:r>
        <w:rPr>
          <w:rFonts w:ascii="Times New Roman" w:hAnsi="Times New Roman" w:cs="Times New Roman"/>
          <w:sz w:val="24"/>
          <w:szCs w:val="24"/>
        </w:rPr>
        <w:t xml:space="preserve">7. The list and explanations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measured variables are reported the following table. </w:t>
      </w:r>
    </w:p>
    <w:p w14:paraId="1DD55A3C" w14:textId="77777777" w:rsidR="009D6C7E" w:rsidRDefault="009D6C7E" w:rsidP="009D6C7E">
      <w:pPr>
        <w:jc w:val="center"/>
        <w:rPr>
          <w:rFonts w:ascii="Times New Roman" w:eastAsia="方正大黑体_GBK" w:hAnsi="Times New Roman" w:cs="Times New Roman"/>
          <w:i/>
          <w:iCs/>
          <w:sz w:val="24"/>
          <w:szCs w:val="24"/>
        </w:rPr>
      </w:pPr>
    </w:p>
    <w:p w14:paraId="6FFAFFED" w14:textId="1AC1F4B4" w:rsidR="009D6C7E" w:rsidRPr="00E651AC" w:rsidRDefault="009D6C7E" w:rsidP="009D6C7E">
      <w:pPr>
        <w:jc w:val="center"/>
        <w:rPr>
          <w:rFonts w:ascii="Times New Roman" w:eastAsia="方正大黑体_GBK" w:hAnsi="Times New Roman" w:cs="Times New Roman"/>
          <w:i/>
          <w:iCs/>
          <w:sz w:val="24"/>
          <w:szCs w:val="24"/>
        </w:rPr>
      </w:pPr>
      <w:r w:rsidRPr="00E651AC">
        <w:rPr>
          <w:rFonts w:ascii="Times New Roman" w:eastAsia="方正大黑体_GBK" w:hAnsi="Times New Roman" w:cs="Times New Roman"/>
          <w:i/>
          <w:iCs/>
          <w:sz w:val="24"/>
          <w:szCs w:val="24"/>
        </w:rPr>
        <w:t>The list and explanations of measured variables</w:t>
      </w:r>
      <w:r w:rsidRPr="00E651AC">
        <w:rPr>
          <w:rFonts w:ascii="Times New Roman" w:eastAsia="方正大黑体_GBK" w:hAnsi="Times New Roman" w:cs="Times New Roman"/>
          <w:b/>
          <w:bCs/>
          <w:i/>
          <w:iCs/>
          <w:sz w:val="24"/>
          <w:szCs w:val="24"/>
        </w:rPr>
        <w:t>*</w:t>
      </w:r>
    </w:p>
    <w:tbl>
      <w:tblPr>
        <w:tblStyle w:val="TableGrid"/>
        <w:tblW w:w="4859" w:type="pct"/>
        <w:tblInd w:w="-5" w:type="dxa"/>
        <w:tblBorders>
          <w:top w:val="dashSmallGap" w:sz="4" w:space="0" w:color="auto"/>
          <w:left w:val="dashSmallGap" w:sz="4" w:space="0" w:color="auto"/>
          <w:bottom w:val="single" w:sz="12" w:space="0" w:color="000000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1261"/>
        <w:gridCol w:w="3327"/>
        <w:gridCol w:w="3416"/>
      </w:tblGrid>
      <w:tr w:rsidR="009D6C7E" w14:paraId="20AFDDB1" w14:textId="77777777" w:rsidTr="00E43288">
        <w:tc>
          <w:tcPr>
            <w:tcW w:w="59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8D8D8" w:themeFill="background1" w:themeFillShade="D8"/>
          </w:tcPr>
          <w:p w14:paraId="0B392A60" w14:textId="77777777" w:rsidR="009D6C7E" w:rsidRDefault="009D6C7E" w:rsidP="00E43288">
            <w:pPr>
              <w:ind w:left="10" w:hanging="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Dimension</w:t>
            </w:r>
          </w:p>
        </w:tc>
        <w:tc>
          <w:tcPr>
            <w:tcW w:w="69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8D8D8" w:themeFill="background1" w:themeFillShade="D8"/>
          </w:tcPr>
          <w:p w14:paraId="2B1B6158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18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8D8D8" w:themeFill="background1" w:themeFillShade="D8"/>
          </w:tcPr>
          <w:p w14:paraId="547236D9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Meaning</w:t>
            </w:r>
          </w:p>
        </w:tc>
        <w:tc>
          <w:tcPr>
            <w:tcW w:w="188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8D8D8" w:themeFill="background1" w:themeFillShade="D8"/>
          </w:tcPr>
          <w:p w14:paraId="3CAF006B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Calculation method</w:t>
            </w:r>
          </w:p>
        </w:tc>
      </w:tr>
      <w:tr w:rsidR="009D6C7E" w14:paraId="259EFCC4" w14:textId="77777777" w:rsidTr="00E43288">
        <w:tc>
          <w:tcPr>
            <w:tcW w:w="595" w:type="pct"/>
            <w:vMerge w:val="restart"/>
            <w:tcBorders>
              <w:top w:val="single" w:sz="12" w:space="0" w:color="auto"/>
              <w:tl2br w:val="nil"/>
              <w:tr2bl w:val="nil"/>
            </w:tcBorders>
          </w:tcPr>
          <w:p w14:paraId="15D89A75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ECO</w:t>
            </w:r>
          </w:p>
        </w:tc>
        <w:tc>
          <w:tcPr>
            <w:tcW w:w="694" w:type="pct"/>
            <w:tcBorders>
              <w:top w:val="single" w:sz="12" w:space="0" w:color="auto"/>
              <w:tl2br w:val="nil"/>
              <w:tr2bl w:val="nil"/>
            </w:tcBorders>
          </w:tcPr>
          <w:p w14:paraId="31AA3519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gdp</w:t>
            </w:r>
            <w:proofErr w:type="spellEnd"/>
          </w:p>
        </w:tc>
        <w:tc>
          <w:tcPr>
            <w:tcW w:w="1831" w:type="pct"/>
            <w:tcBorders>
              <w:top w:val="single" w:sz="12" w:space="0" w:color="auto"/>
              <w:tl2br w:val="nil"/>
              <w:tr2bl w:val="nil"/>
            </w:tcBorders>
          </w:tcPr>
          <w:p w14:paraId="69C3DB91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 domestic product</w:t>
            </w:r>
          </w:p>
        </w:tc>
        <w:tc>
          <w:tcPr>
            <w:tcW w:w="1880" w:type="pct"/>
            <w:tcBorders>
              <w:top w:val="single" w:sz="12" w:space="0" w:color="auto"/>
              <w:tl2br w:val="nil"/>
              <w:tr2bl w:val="nil"/>
            </w:tcBorders>
          </w:tcPr>
          <w:p w14:paraId="19CB4190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D6C7E" w14:paraId="2C99BE13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5F53C1AB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2B39AE7D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gdp_p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5EE7C46E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GDP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7C6793B0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GDP/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695BD064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211DB18D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0B312F1D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wage</w:t>
            </w:r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78E92A8C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Wage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241233D9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D6C7E" w14:paraId="5D02241B" w14:textId="77777777" w:rsidTr="00E43288">
        <w:tc>
          <w:tcPr>
            <w:tcW w:w="595" w:type="pct"/>
            <w:vMerge w:val="restart"/>
            <w:tcBorders>
              <w:tl2br w:val="nil"/>
              <w:tr2bl w:val="nil"/>
            </w:tcBorders>
          </w:tcPr>
          <w:p w14:paraId="02566DE4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</w:t>
            </w: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48C263F9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invg_a_p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64821E60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Invention patent application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6ED42E53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Invention patent application</w:t>
            </w:r>
            <w:r>
              <w:rPr>
                <w:sz w:val="18"/>
                <w:szCs w:val="18"/>
              </w:rPr>
              <w:t>s/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44062B4C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363006B0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6B7D5079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umg_a_p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4185172F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Utility </w:t>
            </w: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ode 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atent application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29D74F33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Utility </w:t>
            </w: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ode 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atent application</w:t>
            </w:r>
            <w:r>
              <w:rPr>
                <w:sz w:val="18"/>
                <w:szCs w:val="18"/>
              </w:rPr>
              <w:t>s/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66E1859B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3BB7DF4C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17FE348A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desg_a_p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0E324204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Design </w:t>
            </w:r>
            <w:r>
              <w:rPr>
                <w:sz w:val="18"/>
                <w:szCs w:val="18"/>
              </w:rPr>
              <w:t xml:space="preserve">mode </w:t>
            </w:r>
            <w:r>
              <w:rPr>
                <w:rFonts w:hint="eastAsia"/>
                <w:sz w:val="18"/>
                <w:szCs w:val="18"/>
              </w:rPr>
              <w:t>patent application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391B498D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Design </w:t>
            </w:r>
            <w:r>
              <w:rPr>
                <w:sz w:val="18"/>
                <w:szCs w:val="18"/>
              </w:rPr>
              <w:t xml:space="preserve">mode </w:t>
            </w:r>
            <w:r>
              <w:rPr>
                <w:rFonts w:hint="eastAsia"/>
                <w:sz w:val="18"/>
                <w:szCs w:val="18"/>
              </w:rPr>
              <w:t>patent application</w:t>
            </w:r>
            <w:r>
              <w:rPr>
                <w:sz w:val="18"/>
                <w:szCs w:val="18"/>
              </w:rPr>
              <w:t>s/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2CE104C9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74CF6DE9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54B88558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inva_e_p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45E06AFE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Invention patent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authorized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4D756CF0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Invention patent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authorized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351768C7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4F816571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321D7266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uma_e_p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2EBA7E6F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Utility </w:t>
            </w: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ode 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atent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authorized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439137D3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Utility </w:t>
            </w: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 xml:space="preserve">ode 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atent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authorized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49670908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5E1B6CF0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5D2F1A70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desa_e_p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73162010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Design </w:t>
            </w:r>
            <w:r>
              <w:rPr>
                <w:sz w:val="18"/>
                <w:szCs w:val="18"/>
              </w:rPr>
              <w:t xml:space="preserve">mode </w:t>
            </w:r>
            <w:r>
              <w:rPr>
                <w:rFonts w:hint="eastAsia"/>
                <w:sz w:val="18"/>
                <w:szCs w:val="18"/>
              </w:rPr>
              <w:t>patent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authorized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32D8FCCD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Design </w:t>
            </w:r>
            <w:r>
              <w:rPr>
                <w:sz w:val="18"/>
                <w:szCs w:val="18"/>
              </w:rPr>
              <w:t xml:space="preserve">mode </w:t>
            </w:r>
            <w:r>
              <w:rPr>
                <w:rFonts w:hint="eastAsia"/>
                <w:sz w:val="18"/>
                <w:szCs w:val="18"/>
              </w:rPr>
              <w:t>patent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authorized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25038BA4" w14:textId="77777777" w:rsidTr="00E43288">
        <w:tc>
          <w:tcPr>
            <w:tcW w:w="595" w:type="pct"/>
            <w:vMerge w:val="restart"/>
            <w:tcBorders>
              <w:tl2br w:val="nil"/>
              <w:tr2bl w:val="nil"/>
            </w:tcBorders>
          </w:tcPr>
          <w:p w14:paraId="10D25977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</w:t>
            </w: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70BEF0BC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tele_in_p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68265993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Telecom business volume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22475138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Telecom business volume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0C3DEBE9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1410D232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645C83CE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mobile_p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4C396627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 phone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5110CAB9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 phone users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4C18BE9A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3E8FEECF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32C958A3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715A2C18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Internet users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2B5A8E7B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Internet users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4CFB72F5" w14:textId="77777777" w:rsidTr="00E43288">
        <w:tc>
          <w:tcPr>
            <w:tcW w:w="595" w:type="pct"/>
            <w:vMerge w:val="restart"/>
            <w:tcBorders>
              <w:tl2br w:val="nil"/>
              <w:tr2bl w:val="nil"/>
            </w:tcBorders>
          </w:tcPr>
          <w:p w14:paraId="6C550371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</w:t>
            </w: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1471FCAA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crop_g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73F6CDE9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GDP per unit area of crop land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5E4660C6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GDP/</w:t>
            </w:r>
            <w:r>
              <w:rPr>
                <w:rFonts w:hint="eastAsia"/>
                <w:sz w:val="18"/>
                <w:szCs w:val="18"/>
              </w:rPr>
              <w:t>Area of crop land</w:t>
            </w:r>
          </w:p>
        </w:tc>
      </w:tr>
      <w:tr w:rsidR="009D6C7E" w14:paraId="3809D7EB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6575F17A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78BDB24E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forest_g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206E4423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GDP per unit area of forest land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4138B879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GDP/</w:t>
            </w:r>
            <w:r>
              <w:rPr>
                <w:rFonts w:hint="eastAsia"/>
                <w:sz w:val="18"/>
                <w:szCs w:val="18"/>
              </w:rPr>
              <w:t>Area of forest land</w:t>
            </w:r>
          </w:p>
        </w:tc>
      </w:tr>
      <w:tr w:rsidR="009D6C7E" w14:paraId="449F38DE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6CAD23AA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493E3408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water_g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725EF9BC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GDP per unit area of water land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409F918A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GDP/</w:t>
            </w:r>
            <w:r>
              <w:rPr>
                <w:rFonts w:hint="eastAsia"/>
                <w:sz w:val="18"/>
                <w:szCs w:val="18"/>
              </w:rPr>
              <w:t xml:space="preserve">Area of </w:t>
            </w:r>
            <w:r>
              <w:rPr>
                <w:sz w:val="18"/>
                <w:szCs w:val="18"/>
              </w:rPr>
              <w:t>water</w:t>
            </w:r>
            <w:r>
              <w:rPr>
                <w:rFonts w:hint="eastAsia"/>
                <w:sz w:val="18"/>
                <w:szCs w:val="18"/>
              </w:rPr>
              <w:t xml:space="preserve"> land</w:t>
            </w:r>
          </w:p>
        </w:tc>
      </w:tr>
      <w:tr w:rsidR="009D6C7E" w14:paraId="3EAA72A9" w14:textId="77777777" w:rsidTr="00E43288">
        <w:tc>
          <w:tcPr>
            <w:tcW w:w="595" w:type="pct"/>
            <w:vMerge w:val="restart"/>
            <w:tcBorders>
              <w:tl2br w:val="nil"/>
              <w:tr2bl w:val="nil"/>
            </w:tcBorders>
          </w:tcPr>
          <w:p w14:paraId="2B557F68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</w:t>
            </w: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0A057BB2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no_g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0F671703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GDP </w:t>
            </w:r>
            <w:r>
              <w:rPr>
                <w:sz w:val="18"/>
                <w:szCs w:val="18"/>
              </w:rPr>
              <w:t>per</w:t>
            </w:r>
            <w:r>
              <w:rPr>
                <w:rFonts w:hint="eastAsia"/>
                <w:sz w:val="18"/>
                <w:szCs w:val="18"/>
              </w:rPr>
              <w:t xml:space="preserve"> unit NOx emission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00EA7C2D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GDP/</w:t>
            </w:r>
            <w:r>
              <w:rPr>
                <w:rFonts w:hint="eastAsia"/>
                <w:sz w:val="18"/>
                <w:szCs w:val="18"/>
              </w:rPr>
              <w:t>NOx emission</w:t>
            </w:r>
          </w:p>
        </w:tc>
      </w:tr>
      <w:tr w:rsidR="009D6C7E" w14:paraId="031A6363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2BFD8C99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3907884C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so_g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7104A6B8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GDP </w:t>
            </w:r>
            <w:r>
              <w:rPr>
                <w:sz w:val="18"/>
                <w:szCs w:val="18"/>
              </w:rPr>
              <w:t>per</w:t>
            </w:r>
            <w:r>
              <w:rPr>
                <w:rFonts w:hint="eastAsia"/>
                <w:sz w:val="18"/>
                <w:szCs w:val="18"/>
              </w:rPr>
              <w:t xml:space="preserve"> unit sulfur dioxide emission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5A7CDC40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GDP/</w:t>
            </w:r>
            <w:r>
              <w:rPr>
                <w:rFonts w:hint="eastAsia"/>
                <w:sz w:val="18"/>
                <w:szCs w:val="18"/>
              </w:rPr>
              <w:t>Sulfur dioxide emission</w:t>
            </w:r>
          </w:p>
        </w:tc>
      </w:tr>
      <w:tr w:rsidR="009D6C7E" w14:paraId="35C1F7E0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2663822A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52855DC0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dust_g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616A6D15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GDP </w:t>
            </w:r>
            <w:r>
              <w:rPr>
                <w:sz w:val="18"/>
                <w:szCs w:val="18"/>
              </w:rPr>
              <w:t>per</w:t>
            </w:r>
            <w:r>
              <w:rPr>
                <w:rFonts w:hint="eastAsia"/>
                <w:sz w:val="18"/>
                <w:szCs w:val="18"/>
              </w:rPr>
              <w:t xml:space="preserve"> unit discharge</w:t>
            </w:r>
            <w:r>
              <w:rPr>
                <w:sz w:val="18"/>
                <w:szCs w:val="18"/>
              </w:rPr>
              <w:t xml:space="preserve"> of industrial dusts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4AE7B2C4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GDP/industrial dust </w:t>
            </w:r>
            <w:r>
              <w:rPr>
                <w:rFonts w:hint="eastAsia"/>
                <w:sz w:val="18"/>
                <w:szCs w:val="18"/>
              </w:rPr>
              <w:t>discharge</w:t>
            </w:r>
          </w:p>
        </w:tc>
      </w:tr>
      <w:tr w:rsidR="009D6C7E" w14:paraId="2E644C12" w14:textId="77777777" w:rsidTr="00E43288">
        <w:tc>
          <w:tcPr>
            <w:tcW w:w="595" w:type="pct"/>
            <w:vMerge w:val="restart"/>
            <w:tcBorders>
              <w:tl2br w:val="nil"/>
              <w:tr2bl w:val="nil"/>
            </w:tcBorders>
          </w:tcPr>
          <w:p w14:paraId="6D4F0AB7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EDU</w:t>
            </w: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0C5AED1E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college_p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17475B43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College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 xml:space="preserve">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2784D822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College</w:t>
            </w:r>
            <w:r>
              <w:rPr>
                <w:sz w:val="18"/>
                <w:szCs w:val="18"/>
              </w:rPr>
              <w:t>s/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7C072FFA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58C71F76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6A0ED24C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college_t_p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55A6A50B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Proportion of college teachers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7516855D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college teachers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3D61E7BE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3AC878F1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37D4776A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college_s_p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6CF5EA62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Proportion of college students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312D9961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college students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1C099FAE" w14:textId="77777777" w:rsidTr="00E43288">
        <w:tc>
          <w:tcPr>
            <w:tcW w:w="595" w:type="pct"/>
            <w:vMerge w:val="restart"/>
            <w:tcBorders>
              <w:tl2br w:val="nil"/>
              <w:tr2bl w:val="nil"/>
            </w:tcBorders>
          </w:tcPr>
          <w:p w14:paraId="70044521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</w:t>
            </w: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6EDCEC69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road_p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2C6667DD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Road area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6FAB5C87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Road area</w:t>
            </w:r>
            <w:r>
              <w:rPr>
                <w:sz w:val="18"/>
                <w:szCs w:val="18"/>
              </w:rPr>
              <w:t>s/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11DC3764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383F9AC5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7B21591F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4964E722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3F03DA58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</w:t>
            </w:r>
            <w:r>
              <w:rPr>
                <w:sz w:val="18"/>
                <w:szCs w:val="18"/>
              </w:rPr>
              <w:t>es/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  <w:tr w:rsidR="009D6C7E" w14:paraId="284BEC2A" w14:textId="77777777" w:rsidTr="00E43288">
        <w:tc>
          <w:tcPr>
            <w:tcW w:w="595" w:type="pct"/>
            <w:vMerge/>
            <w:tcBorders>
              <w:tl2br w:val="nil"/>
              <w:tr2bl w:val="nil"/>
            </w:tcBorders>
          </w:tcPr>
          <w:p w14:paraId="4845AD80" w14:textId="77777777" w:rsidR="009D6C7E" w:rsidRDefault="009D6C7E" w:rsidP="00E43288">
            <w:pPr>
              <w:rPr>
                <w:sz w:val="18"/>
                <w:szCs w:val="18"/>
              </w:rPr>
            </w:pPr>
          </w:p>
        </w:tc>
        <w:tc>
          <w:tcPr>
            <w:tcW w:w="694" w:type="pct"/>
            <w:tcBorders>
              <w:tl2br w:val="nil"/>
              <w:tr2bl w:val="nil"/>
            </w:tcBorders>
          </w:tcPr>
          <w:p w14:paraId="341DEDDA" w14:textId="77777777" w:rsidR="009D6C7E" w:rsidRDefault="009D6C7E" w:rsidP="00E4328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taxi_p</w:t>
            </w:r>
            <w:proofErr w:type="spellEnd"/>
          </w:p>
        </w:tc>
        <w:tc>
          <w:tcPr>
            <w:tcW w:w="1831" w:type="pct"/>
            <w:tcBorders>
              <w:tl2br w:val="nil"/>
              <w:tr2bl w:val="nil"/>
            </w:tcBorders>
          </w:tcPr>
          <w:p w14:paraId="7B3AA2AD" w14:textId="77777777" w:rsidR="009D6C7E" w:rsidRDefault="009D6C7E" w:rsidP="00E432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Taxi per capita</w:t>
            </w:r>
          </w:p>
        </w:tc>
        <w:tc>
          <w:tcPr>
            <w:tcW w:w="1880" w:type="pct"/>
            <w:tcBorders>
              <w:tl2br w:val="nil"/>
              <w:tr2bl w:val="nil"/>
            </w:tcBorders>
          </w:tcPr>
          <w:p w14:paraId="137FC8ED" w14:textId="77777777" w:rsidR="009D6C7E" w:rsidRDefault="009D6C7E" w:rsidP="00E43288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Taxi</w:t>
            </w:r>
            <w:r>
              <w:rPr>
                <w:sz w:val="18"/>
                <w:szCs w:val="18"/>
              </w:rPr>
              <w:t>es</w:t>
            </w:r>
            <w:proofErr w:type="gram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Population</w:t>
            </w:r>
          </w:p>
        </w:tc>
      </w:tr>
    </w:tbl>
    <w:p w14:paraId="03AFC65A" w14:textId="77777777" w:rsidR="009D6C7E" w:rsidRDefault="009D6C7E" w:rsidP="009D6C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</w:p>
    <w:p w14:paraId="09591BED" w14:textId="77777777" w:rsidR="009D6C7E" w:rsidRPr="00286493" w:rsidRDefault="009D6C7E" w:rsidP="009D6C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6493">
        <w:rPr>
          <w:rFonts w:ascii="Times New Roman" w:hAnsi="Times New Roman" w:cs="Times New Roman" w:hint="eastAsia"/>
          <w:b/>
          <w:bCs/>
          <w:i/>
          <w:iCs/>
          <w:sz w:val="18"/>
          <w:szCs w:val="18"/>
        </w:rPr>
        <w:t>*</w:t>
      </w:r>
      <w:r w:rsidRPr="00286493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 w:rsidRPr="00286493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Patent data is mainly derived from the patent cloud website </w:t>
      </w:r>
      <w:r w:rsidRPr="00286493">
        <w:rPr>
          <w:rFonts w:ascii="Times New Roman" w:hAnsi="Times New Roman" w:cs="Times New Roman"/>
          <w:i/>
          <w:iCs/>
          <w:sz w:val="24"/>
          <w:szCs w:val="24"/>
        </w:rPr>
        <w:t>(</w:t>
      </w:r>
      <w:hyperlink r:id="rId6" w:history="1">
        <w:r w:rsidRPr="0028649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https://app.patentcloud.com/</w:t>
        </w:r>
      </w:hyperlink>
      <w:r w:rsidRPr="00286493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286493">
        <w:rPr>
          <w:rFonts w:ascii="Times New Roman" w:hAnsi="Times New Roman" w:cs="Times New Roman"/>
          <w:i/>
          <w:iCs/>
          <w:sz w:val="24"/>
          <w:szCs w:val="24"/>
          <w:lang w:val="en"/>
        </w:rPr>
        <w:t>, land use data is mainly from the land use database of the Chinese Academy of Sciences (</w:t>
      </w:r>
      <w:hyperlink r:id="rId7" w:history="1">
        <w:r w:rsidRPr="00286493">
          <w:rPr>
            <w:rStyle w:val="Hyperlink"/>
            <w:rFonts w:ascii="Times New Roman" w:eastAsia="SimSun" w:hAnsi="Times New Roman" w:cs="Times New Roman"/>
            <w:i/>
            <w:iCs/>
            <w:sz w:val="24"/>
            <w:szCs w:val="24"/>
          </w:rPr>
          <w:t>http://www.resdc.cn/data.aspx?DATAID=184</w:t>
        </w:r>
      </w:hyperlink>
      <w:r w:rsidRPr="0028649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286493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, and other data are mainly from the Online China Urban Statistics Yearbook </w:t>
      </w:r>
      <w:r w:rsidRPr="00286493">
        <w:rPr>
          <w:rFonts w:ascii="Times New Roman" w:hAnsi="Times New Roman" w:cs="Times New Roman"/>
          <w:i/>
          <w:iCs/>
          <w:sz w:val="24"/>
          <w:szCs w:val="24"/>
        </w:rPr>
        <w:t>(</w:t>
      </w:r>
      <w:hyperlink r:id="rId8" w:history="1">
        <w:r w:rsidRPr="0028649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https://data.cnki.net/yearbook/Single/N2020050229</w:t>
        </w:r>
      </w:hyperlink>
      <w:r w:rsidRPr="0028649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t>)</w:t>
      </w:r>
      <w:r w:rsidRPr="00286493">
        <w:rPr>
          <w:rFonts w:ascii="Times New Roman" w:hAnsi="Times New Roman" w:cs="Times New Roman"/>
          <w:i/>
          <w:iCs/>
          <w:sz w:val="24"/>
          <w:szCs w:val="24"/>
          <w:lang w:val="en"/>
        </w:rPr>
        <w:t>.</w:t>
      </w:r>
    </w:p>
    <w:p w14:paraId="3A911389" w14:textId="77777777" w:rsidR="009D6C7E" w:rsidRDefault="009D6C7E" w:rsidP="009D6C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4E793" w14:textId="77777777" w:rsidR="00962CC0" w:rsidRDefault="00962CC0"/>
    <w:sectPr w:rsidR="0096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harisSIL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方正大黑体_GBK">
    <w:altName w:val="Microsoft YaHei"/>
    <w:charset w:val="86"/>
    <w:family w:val="auto"/>
    <w:pitch w:val="default"/>
    <w:sig w:usb0="00000001" w:usb1="080E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jA3NTU3MrY0MzdU0lEKTi0uzszPAykwqgUAEdAdGywAAAA="/>
  </w:docVars>
  <w:rsids>
    <w:rsidRoot w:val="00817409"/>
    <w:rsid w:val="000E3B5C"/>
    <w:rsid w:val="008171DE"/>
    <w:rsid w:val="00817409"/>
    <w:rsid w:val="00962CC0"/>
    <w:rsid w:val="009D6C7E"/>
    <w:rsid w:val="00BE08E0"/>
    <w:rsid w:val="00E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697AA"/>
  <w15:chartTrackingRefBased/>
  <w15:docId w15:val="{B575F807-630D-4AA9-93BF-D9C52A10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0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817409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1740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17409"/>
    <w:rPr>
      <w:color w:val="605E5C"/>
      <w:shd w:val="clear" w:color="auto" w:fill="E1DFDD"/>
    </w:rPr>
  </w:style>
  <w:style w:type="table" w:styleId="TableGrid">
    <w:name w:val="Table Grid"/>
    <w:basedOn w:val="TableNormal"/>
    <w:qFormat/>
    <w:rsid w:val="009D6C7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nki.net/yearbook/Single/N20200502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sdc.cn/data.aspx?DATAID=1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atentcloud.com/" TargetMode="External"/><Relationship Id="rId5" Type="http://schemas.openxmlformats.org/officeDocument/2006/relationships/hyperlink" Target="mailto:m.batty@ucl.ac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yxie@emich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3487</Characters>
  <Application>Microsoft Office Word</Application>
  <DocSecurity>0</DocSecurity>
  <Lines>139</Lines>
  <Paragraphs>111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Yichun Xie</dc:creator>
  <cp:keywords/>
  <dc:description/>
  <cp:lastModifiedBy>Yichun Xie</cp:lastModifiedBy>
  <cp:revision>2</cp:revision>
  <dcterms:created xsi:type="dcterms:W3CDTF">2025-02-20T20:12:00Z</dcterms:created>
  <dcterms:modified xsi:type="dcterms:W3CDTF">2025-02-20T20:12:00Z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fe187e6e-f885-4d64-8569-8ed5eedc4e5b</vt:lpwstr>
  </property>
</Properties>
</file>