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Pest Risks for Tomato and Potato Crops in the UK</w:t>
      </w:r>
    </w:p>
    <w:p>
      <w:pPr/>
      <w:r>
        <w:t xml:space="preserve">Oct 17, 2026</w:t>
      </w:r>
      <w:r>
        <w:t xml:space="preserve"> · </w:t>
      </w:r>
      <w:r>
        <w:t xml:space="preserve">@sakis</w:t>
      </w:r>
    </w:p>
    <w:p>
      <w:pPr>
        <w:pStyle w:val="Heading2"/>
      </w:pPr>
      <w:r>
        <w:t xml:space="preserve">Abstract</w:t>
      </w:r>
    </w:p>
    <w:p>
      <w:pPr/>
      <w:r>
        <w:t xml:space="preserve">Tomato and potato growers in the UK face eight distinct pests across the two crops, and the two crops are threatened in very different ways. Tomato is mainly attacked on its leaves, usually under glass. Potato is mainly attacked below ground, in the soil and the tubers. Only one pest, the potato cyst nematode, affects both. This paper summarises what the Pest2Veg team workbook records for each pest: the signs a grower can see, the pest's size and colour, and the management advice. All of it comes from Royal Horticultural Society (RHS) pages checked in October 2026.</w:t>
      </w:r>
    </w:p>
    <w:p>
      <w:pPr>
        <w:pStyle w:val="Heading2"/>
      </w:pPr>
      <w:r>
        <w:t xml:space="preserve">1. Introduction</w:t>
      </w:r>
    </w:p>
    <w:p>
      <w:pPr/>
      <w:r>
        <w:t xml:space="preserve">Pest2Veg is an educational website for UK vegetable growers, supporting UN Sustainable Development Goal 2: Zero Hunger. A grower picks a crop, and the site shows a card for every pest recorded on that crop, with a photo, what to look for and a link to management advice. It shows possible pests only. It is not a diagnosis tool and does not recognise pests from photos.</w:t>
      </w:r>
    </w:p>
    <w:p>
      <w:pPr/>
      <w:r>
        <w:t xml:space="preserve">This paper covers two of the site's six crops, tomato and potato. They make a useful pair. Tomatoes are usually grown in glasshouses or under cover, while potatoes are grown in open soil. Comparing them shows how the pest problems, and the advice for them, change with the way a crop is grown.</w:t>
      </w:r>
    </w:p>
    <w:p>
      <w:pPr>
        <w:pStyle w:val="Heading2"/>
      </w:pPr>
      <w:r>
        <w:t xml:space="preserve">2. Method and sources</w:t>
      </w:r>
    </w:p>
    <w:p>
      <w:pPr/>
      <w:r>
        <w:t xml:space="preserve">The findings come from the team's master workbook, last checked on 15 October 2026. Its Pests, Pest x Crop, Crops, Size and colour and References sheets were used. Every pest-to-crop link in the workbook carries a reference number, and a blank cell means the link is not verified.</w:t>
      </w:r>
    </w:p>
    <w:p>
      <w:pPr/>
      <w:r>
        <w:t xml:space="preserve">The sources are RHS pest pages, plus the RHS "How to grow" pages for tomatoes (ref 11) and potatoes (ref 13). The pages were accessed on 13 to 14 October 2026. The workbook records that size and colour values were checked against the cited RHS page, and that three values that did not match were corrected on 14 October.</w:t>
      </w:r>
    </w:p>
    <w:p>
      <w:pPr>
        <w:pStyle w:val="Heading2"/>
      </w:pPr>
      <w:r>
        <w:t xml:space="preserve">3. Tomato: five pests</w:t>
      </w:r>
    </w:p>
    <w:p>
      <w:pPr/>
      <w:r>
        <w:t xml:space="preserve">Four of the five tomato pests live on the leaves, and three of those are mainly glasshouse problems. The fifth, the potato cyst nematode, attacks the roots.</w:t>
      </w:r>
    </w:p>
    <w:tbl>
      <w:tblPr>
        <w:tblStyle w:val="TableGrid"/>
        <w:tblW w:w="0" w:type="auto"/>
        <w:tblLayout w:type="fixed"/>
        <w:tblLook w:val="04A0" w:firstRow="1" w:lastRow="0" w:firstColumn="0" w:lastColumn="0" w:noHBand="0" w:noVBand="1"/>
      </w:tblPr>
      <w:tblGrid>
        <w:gridCol w:w="1423"/>
        <w:gridCol w:w="3513"/>
        <w:gridCol w:w="3673"/>
        <w:gridCol w:w="751"/>
      </w:tblGrid>
      <w:tr>
        <w:trPr>
          <w:tblHeader/>
        </w:trPr>
        <w:tc>
          <w:tcPr>
            <w:tcW w:w="1423" w:type="dxa"/>
            <w:shd w:val="clear" w:color="auto" w:fill="F2F2F2"/>
          </w:tcPr>
          <w:p>
            <w:pPr/>
            <w:r>
              <w:t xml:space="preserve">Pest</w:t>
            </w:r>
          </w:p>
        </w:tc>
        <w:tc>
          <w:tcPr>
            <w:tcW w:w="3513" w:type="dxa"/>
            <w:shd w:val="clear" w:color="auto" w:fill="F2F2F2"/>
          </w:tcPr>
          <w:p>
            <w:pPr/>
            <w:r>
              <w:t xml:space="preserve">What to look for</w:t>
            </w:r>
          </w:p>
        </w:tc>
        <w:tc>
          <w:tcPr>
            <w:tcW w:w="3673" w:type="dxa"/>
            <w:shd w:val="clear" w:color="auto" w:fill="F2F2F2"/>
          </w:tcPr>
          <w:p>
            <w:pPr/>
            <w:r>
              <w:t xml:space="preserve">Size and colour</w:t>
            </w:r>
          </w:p>
        </w:tc>
        <w:tc>
          <w:tcPr>
            <w:tcW w:w="751" w:type="dxa"/>
            <w:shd w:val="clear" w:color="auto" w:fill="F2F2F2"/>
          </w:tcPr>
          <w:p>
            <w:pPr/>
            <w:r>
              <w:t xml:space="preserve">Refs</w:t>
            </w:r>
          </w:p>
        </w:tc>
      </w:tr>
      <w:tr>
        <w:tc>
          <w:tcPr>
            <w:tcW w:w="1423" w:type="dxa"/>
          </w:tcPr>
          <w:p>
            <w:pPr/>
            <w:r>
              <w:t xml:space="preserve">Aphids</w:t>
            </w:r>
          </w:p>
        </w:tc>
        <w:tc>
          <w:tcPr>
            <w:tcW w:w="3513" w:type="dxa"/>
          </w:tcPr>
          <w:p>
            <w:pPr/>
            <w:r>
              <w:t xml:space="preserve">Small insects on leaves, sticky residue, curled or distorted leaves, stunted growth</w:t>
            </w:r>
          </w:p>
        </w:tc>
        <w:tc>
          <w:tcPr>
            <w:tcW w:w="3673" w:type="dxa"/>
          </w:tcPr>
          <w:p>
            <w:pPr/>
            <w:r>
              <w:t xml:space="preserve">1 to 7 mm; green, black, or yellow, pink, white or mottled</w:t>
            </w:r>
          </w:p>
        </w:tc>
        <w:tc>
          <w:tcPr>
            <w:tcW w:w="751" w:type="dxa"/>
          </w:tcPr>
          <w:p>
            <w:pPr/>
            <w:r>
              <w:t xml:space="preserve">1</w:t>
            </w:r>
          </w:p>
        </w:tc>
      </w:tr>
      <w:tr>
        <w:tc>
          <w:tcPr>
            <w:tcW w:w="1423" w:type="dxa"/>
          </w:tcPr>
          <w:p>
            <w:pPr/>
            <w:r>
              <w:t xml:space="preserve">Glasshouse whitefly</w:t>
            </w:r>
          </w:p>
        </w:tc>
        <w:tc>
          <w:tcPr>
            <w:tcW w:w="3513" w:type="dxa"/>
          </w:tcPr>
          <w:p>
            <w:pPr/>
            <w:r>
              <w:t xml:space="preserve">Small insects on leaves, sticky residue, black sooty mould</w:t>
            </w:r>
          </w:p>
        </w:tc>
        <w:tc>
          <w:tcPr>
            <w:tcW w:w="3673" w:type="dxa"/>
          </w:tcPr>
          <w:p>
            <w:pPr/>
            <w:r>
              <w:t xml:space="preserve">Adults 1.5 mm and white; nymphs creamy white or whitish-green</w:t>
            </w:r>
          </w:p>
        </w:tc>
        <w:tc>
          <w:tcPr>
            <w:tcW w:w="751" w:type="dxa"/>
          </w:tcPr>
          <w:p>
            <w:pPr/>
            <w:r>
              <w:t xml:space="preserve">3, 11</w:t>
            </w:r>
          </w:p>
        </w:tc>
      </w:tr>
      <w:tr>
        <w:tc>
          <w:tcPr>
            <w:tcW w:w="1423" w:type="dxa"/>
          </w:tcPr>
          <w:p>
            <w:pPr/>
            <w:r>
              <w:t xml:space="preserve">Red spider mite</w:t>
            </w:r>
          </w:p>
        </w:tc>
        <w:tc>
          <w:tcPr>
            <w:tcW w:w="3513" w:type="dxa"/>
          </w:tcPr>
          <w:p>
            <w:pPr/>
            <w:r>
              <w:t xml:space="preserve">Mottled leaves, fine webbing</w:t>
            </w:r>
          </w:p>
        </w:tc>
        <w:tc>
          <w:tcPr>
            <w:tcW w:w="3673" w:type="dxa"/>
          </w:tcPr>
          <w:p>
            <w:pPr/>
            <w:r>
              <w:t xml:space="preserve">Up to 1 mm; dark, becoming reddish-orange in autumn</w:t>
            </w:r>
          </w:p>
        </w:tc>
        <w:tc>
          <w:tcPr>
            <w:tcW w:w="751" w:type="dxa"/>
          </w:tcPr>
          <w:p>
            <w:pPr/>
            <w:r>
              <w:t xml:space="preserve">6</w:t>
            </w:r>
          </w:p>
        </w:tc>
      </w:tr>
      <w:tr>
        <w:tc>
          <w:tcPr>
            <w:tcW w:w="1423" w:type="dxa"/>
          </w:tcPr>
          <w:p>
            <w:pPr/>
            <w:r>
              <w:t xml:space="preserve">Thrips</w:t>
            </w:r>
          </w:p>
        </w:tc>
        <w:tc>
          <w:tcPr>
            <w:tcW w:w="3513" w:type="dxa"/>
          </w:tcPr>
          <w:p>
            <w:pPr/>
            <w:r>
              <w:t xml:space="preserve">Silvery patches, mottled leaves, curled or distorted leaves, stunted growth</w:t>
            </w:r>
          </w:p>
        </w:tc>
        <w:tc>
          <w:tcPr>
            <w:tcW w:w="3673" w:type="dxa"/>
          </w:tcPr>
          <w:p>
            <w:pPr/>
            <w:r>
              <w:t xml:space="preserve">Adults up to 2 mm; yellowish-brown or blackish-brown</w:t>
            </w:r>
          </w:p>
        </w:tc>
        <w:tc>
          <w:tcPr>
            <w:tcW w:w="751" w:type="dxa"/>
          </w:tcPr>
          <w:p>
            <w:pPr/>
            <w:r>
              <w:t xml:space="preserve">7</w:t>
            </w:r>
          </w:p>
        </w:tc>
      </w:tr>
      <w:tr>
        <w:tc>
          <w:tcPr>
            <w:tcW w:w="1423" w:type="dxa"/>
          </w:tcPr>
          <w:p>
            <w:pPr/>
            <w:r>
              <w:t xml:space="preserve">Potato cyst nematodes</w:t>
            </w:r>
          </w:p>
        </w:tc>
        <w:tc>
          <w:tcPr>
            <w:tcW w:w="3513" w:type="dxa"/>
          </w:tcPr>
          <w:p>
            <w:pPr/>
            <w:r>
              <w:t xml:space="preserve">Yellowing leaves, wilting</w:t>
            </w:r>
          </w:p>
        </w:tc>
        <w:tc>
          <w:tcPr>
            <w:tcW w:w="3673" w:type="dxa"/>
          </w:tcPr>
          <w:p>
            <w:pPr/>
            <w:r>
              <w:t xml:space="preserve">Cysts under 1 mm; white, yellow or chestnut brown</w:t>
            </w:r>
          </w:p>
        </w:tc>
        <w:tc>
          <w:tcPr>
            <w:tcW w:w="751" w:type="dxa"/>
          </w:tcPr>
          <w:p>
            <w:pPr/>
            <w:r>
              <w:t xml:space="preserve">10</w:t>
            </w:r>
          </w:p>
        </w:tc>
      </w:tr>
    </w:tbl>
    <w:p>
      <w:pPr/>
      <w:r>
        <w:t xml:space="preserve">The management advice follows one pattern. Check plants often and tolerate small numbers where possible. Encourage natural enemies, and use bought biological controls in glasshouses: the wasp </w:t>
      </w:r>
      <w:r>
        <w:rPr>
          <w:i/>
        </w:rPr>
        <w:t xml:space="preserve">Encarsia formosa</w:t>
      </w:r>
      <w:r>
        <w:t xml:space="preserve"> for whitefly, the predatory mite </w:t>
      </w:r>
      <w:r>
        <w:rPr>
          <w:i/>
        </w:rPr>
        <w:t xml:space="preserve">Phytoseiulus persimilis</w:t>
      </w:r>
      <w:r>
        <w:t xml:space="preserve"> for red spider mite, and predatory bugs for thrips. Glasshouse hygiene matters too. Clean the glasshouse and clear plant debris in winter, ventilate well, and avoid dry, hot, crowded conditions that favour red spider mite. The RHS advises against sprays for aphids because they also kill the natural enemies that keep them down. Sticky traps are for monitoring only.</w:t>
      </w:r>
    </w:p>
    <w:p>
      <w:pPr/>
      <w:r>
        <w:t xml:space="preserve">For potato cyst nematodes, tomato growers should never use soil from potato beds in a greenhouse. Fresh soil, raised beds, growbags, ring culture or straw bales are the alternatives.</w:t>
      </w:r>
    </w:p>
    <w:p>
      <w:pPr>
        <w:pStyle w:val="Heading2"/>
      </w:pPr>
      <w:r>
        <w:t xml:space="preserve">4. Potato: four pests</w:t>
      </w:r>
    </w:p>
    <w:p>
      <w:pPr/>
      <w:r>
        <w:t xml:space="preserve">All four potato pests live in or near the soil, and three of them can damage the tubers or the base of the plant.</w:t>
      </w:r>
    </w:p>
    <w:tbl>
      <w:tblPr>
        <w:tblStyle w:val="TableGrid"/>
        <w:tblW w:w="0" w:type="auto"/>
        <w:tblLayout w:type="fixed"/>
        <w:tblLook w:val="04A0" w:firstRow="1" w:lastRow="0" w:firstColumn="0" w:lastColumn="0" w:noHBand="0" w:noVBand="1"/>
      </w:tblPr>
      <w:tblGrid>
        <w:gridCol w:w="1444"/>
        <w:gridCol w:w="2842"/>
        <w:gridCol w:w="4204"/>
        <w:gridCol w:w="870"/>
      </w:tblGrid>
      <w:tr>
        <w:trPr>
          <w:tblHeader/>
        </w:trPr>
        <w:tc>
          <w:tcPr>
            <w:tcW w:w="1444" w:type="dxa"/>
            <w:shd w:val="clear" w:color="auto" w:fill="F2F2F2"/>
          </w:tcPr>
          <w:p>
            <w:pPr/>
            <w:r>
              <w:t xml:space="preserve">Pest</w:t>
            </w:r>
          </w:p>
        </w:tc>
        <w:tc>
          <w:tcPr>
            <w:tcW w:w="2842" w:type="dxa"/>
            <w:shd w:val="clear" w:color="auto" w:fill="F2F2F2"/>
          </w:tcPr>
          <w:p>
            <w:pPr/>
            <w:r>
              <w:t xml:space="preserve">What to look for</w:t>
            </w:r>
          </w:p>
        </w:tc>
        <w:tc>
          <w:tcPr>
            <w:tcW w:w="4204" w:type="dxa"/>
            <w:shd w:val="clear" w:color="auto" w:fill="F2F2F2"/>
          </w:tcPr>
          <w:p>
            <w:pPr/>
            <w:r>
              <w:t xml:space="preserve">Size and colour</w:t>
            </w:r>
          </w:p>
        </w:tc>
        <w:tc>
          <w:tcPr>
            <w:tcW w:w="870" w:type="dxa"/>
            <w:shd w:val="clear" w:color="auto" w:fill="F2F2F2"/>
          </w:tcPr>
          <w:p>
            <w:pPr/>
            <w:r>
              <w:t xml:space="preserve">Refs</w:t>
            </w:r>
          </w:p>
        </w:tc>
      </w:tr>
      <w:tr>
        <w:tc>
          <w:tcPr>
            <w:tcW w:w="1444" w:type="dxa"/>
          </w:tcPr>
          <w:p>
            <w:pPr/>
            <w:r>
              <w:t xml:space="preserve">Slugs and snails</w:t>
            </w:r>
          </w:p>
        </w:tc>
        <w:tc>
          <w:tcPr>
            <w:tcW w:w="2842" w:type="dxa"/>
          </w:tcPr>
          <w:p>
            <w:pPr/>
            <w:r>
              <w:t xml:space="preserve">Holes in leaves, slime trails, tunnelled roots or tubers</w:t>
            </w:r>
          </w:p>
        </w:tc>
        <w:tc>
          <w:tcPr>
            <w:tcW w:w="4204" w:type="dxa"/>
          </w:tcPr>
          <w:p>
            <w:pPr/>
            <w:r>
              <w:t xml:space="preserve">No value recorded; the record covers the whole class Gastropoda</w:t>
            </w:r>
          </w:p>
        </w:tc>
        <w:tc>
          <w:tcPr>
            <w:tcW w:w="870" w:type="dxa"/>
          </w:tcPr>
          <w:p>
            <w:pPr/>
            <w:r>
              <w:t xml:space="preserve">8, 13</w:t>
            </w:r>
          </w:p>
        </w:tc>
      </w:tr>
      <w:tr>
        <w:tc>
          <w:tcPr>
            <w:tcW w:w="1444" w:type="dxa"/>
          </w:tcPr>
          <w:p>
            <w:pPr/>
            <w:r>
              <w:t xml:space="preserve">Wireworms</w:t>
            </w:r>
          </w:p>
        </w:tc>
        <w:tc>
          <w:tcPr>
            <w:tcW w:w="2842" w:type="dxa"/>
          </w:tcPr>
          <w:p>
            <w:pPr/>
            <w:r>
              <w:t xml:space="preserve">Tunnelled roots or tubers</w:t>
            </w:r>
          </w:p>
        </w:tc>
        <w:tc>
          <w:tcPr>
            <w:tcW w:w="4204" w:type="dxa"/>
          </w:tcPr>
          <w:p>
            <w:pPr/>
            <w:r>
              <w:t xml:space="preserve">Up to 25 mm; yellowish-brown</w:t>
            </w:r>
          </w:p>
        </w:tc>
        <w:tc>
          <w:tcPr>
            <w:tcW w:w="870" w:type="dxa"/>
          </w:tcPr>
          <w:p>
            <w:pPr/>
            <w:r>
              <w:t xml:space="preserve">9, 13</w:t>
            </w:r>
          </w:p>
        </w:tc>
      </w:tr>
      <w:tr>
        <w:tc>
          <w:tcPr>
            <w:tcW w:w="1444" w:type="dxa"/>
          </w:tcPr>
          <w:p>
            <w:pPr/>
            <w:r>
              <w:t xml:space="preserve">Potato cyst nematodes</w:t>
            </w:r>
          </w:p>
        </w:tc>
        <w:tc>
          <w:tcPr>
            <w:tcW w:w="2842" w:type="dxa"/>
          </w:tcPr>
          <w:p>
            <w:pPr/>
            <w:r>
              <w:t xml:space="preserve">Yellowing leaves, wilting</w:t>
            </w:r>
          </w:p>
        </w:tc>
        <w:tc>
          <w:tcPr>
            <w:tcW w:w="4204" w:type="dxa"/>
          </w:tcPr>
          <w:p>
            <w:pPr/>
            <w:r>
              <w:t xml:space="preserve">Cysts under 1 mm; white, yellow or chestnut brown</w:t>
            </w:r>
          </w:p>
        </w:tc>
        <w:tc>
          <w:tcPr>
            <w:tcW w:w="870" w:type="dxa"/>
          </w:tcPr>
          <w:p>
            <w:pPr/>
            <w:r>
              <w:t xml:space="preserve">10, 13</w:t>
            </w:r>
          </w:p>
        </w:tc>
      </w:tr>
      <w:tr>
        <w:tc>
          <w:tcPr>
            <w:tcW w:w="1444" w:type="dxa"/>
          </w:tcPr>
          <w:p>
            <w:pPr/>
            <w:r>
              <w:t xml:space="preserve">Cutworms</w:t>
            </w:r>
          </w:p>
        </w:tc>
        <w:tc>
          <w:tcPr>
            <w:tcW w:w="2842" w:type="dxa"/>
          </w:tcPr>
          <w:p>
            <w:pPr/>
            <w:r>
              <w:t xml:space="preserve">Wilting, stems cut at soil level</w:t>
            </w:r>
          </w:p>
        </w:tc>
        <w:tc>
          <w:tcPr>
            <w:tcW w:w="4204" w:type="dxa"/>
          </w:tcPr>
          <w:p>
            <w:pPr/>
            <w:r>
              <w:t xml:space="preserve">Up to 40 mm; greyish-brown, sometimes pale green or creamy-white</w:t>
            </w:r>
          </w:p>
        </w:tc>
        <w:tc>
          <w:tcPr>
            <w:tcW w:w="870" w:type="dxa"/>
          </w:tcPr>
          <w:p>
            <w:pPr/>
            <w:r>
              <w:t xml:space="preserve">17, 13</w:t>
            </w:r>
          </w:p>
        </w:tc>
      </w:tr>
    </w:tbl>
    <w:p>
      <w:pPr/>
      <w:r>
        <w:t xml:space="preserve">Slugs and snails feed at night. The advice is to water in the morning, search by torchlight on mild damp evenings, and lift maincrop tubers as soon as they are ready. The RHS found that copper tape and bark mulch did not reduce slug damage, and advises against slug pellets, even organic ones, because they harm wildlife.</w:t>
      </w:r>
    </w:p>
    <w:p>
      <w:pPr/>
      <w:r>
        <w:t xml:space="preserve">Wireworms are usually a problem when grass is turned into a vegetable bed. Numbers normally fall within two years of cultivation, and digging exposes the grubs to birds. Cutworms are controlled by picking them out, covering crops with fleece or mesh, and watching overgrown corners and newly dug turf, where moths lay more eggs.</w:t>
      </w:r>
    </w:p>
    <w:p>
      <w:pPr/>
      <w:r>
        <w:t xml:space="preserve">Potato cyst nematodes need the longest-term response. The workbook records a gap of at least 5 to 6 years before potatoes or tomatoes are grown again in infested soil. It also advises removing self-set (volunteer) potatoes in early summer and choosing resistant varieties such as Maris Piper and Valor. Tools and shoes that have touched infested soil should be cleaned, and roots from affected plants should not be composted.</w:t>
      </w:r>
    </w:p>
    <w:p>
      <w:pPr>
        <w:pStyle w:val="Heading2"/>
      </w:pPr>
      <w:r>
        <w:t xml:space="preserve">5. Comparison</w:t>
      </w:r>
    </w:p>
    <w:p>
      <w:pPr/>
      <w:r>
        <w:t xml:space="preserve">The two crops share one pest and little else. The potato cyst nematode is the only pest recorded on both, and it is the pest with the longest management timescale, because rotation is the main defence and it works over years.</w:t>
      </w:r>
    </w:p>
    <w:p>
      <w:pPr/>
      <w:r>
        <w:t xml:space="preserve">The rest of the picture splits by growing method. Tomato pests are visible on the leaves, where a grower can spot insects, webbing or sooty mould early. Their controls are glasshouse hygiene and biological helpers. Potato pests work out of sight in the soil, so damage often shows only as wilting or as tunnelled tubers at harvest. Their controls are rotation, digging, covering crops and timely lifting.</w:t>
      </w:r>
    </w:p>
    <w:p>
      <w:pPr/>
      <w:r>
        <w:t xml:space="preserve">Signs also overlap more on potato than on tomato. Wilting is recorded for both potato cyst nematodes and cutworms, so a wilting potato plant cannot be pinned to one pest from that sign alone. Wireworms have a single recorded sign, tunnelled tubers, shared with slugs and snails.</w:t>
      </w:r>
    </w:p>
    <w:p>
      <w:pPr>
        <w:pStyle w:val="Heading2"/>
      </w:pPr>
      <w:r>
        <w:t xml:space="preserve">6. Implications for Pest2Veg and limitations</w:t>
      </w:r>
    </w:p>
    <w:p>
      <w:pPr/>
      <w:r>
        <w:t xml:space="preserve">The cards approach suits both crops, because a grower sees every recorded pest for the crop and compares signs by eye. Three points follow from the findings.</w:t>
      </w:r>
    </w:p>
    <w:p>
      <w:pPr>
        <w:pStyle w:val="ListParagraph"/>
        <w:numPr>
          <w:ilvl w:val="0"/>
          <w:numId w:val="2"/>
        </w:numPr>
      </w:pPr>
      <w:r>
        <w:t xml:space="preserve">Tomato has no soil or stem pests recorded, and slugs and snails are not recorded on tomato because the cited RHS pages do not link them.</w:t>
      </w:r>
    </w:p>
    <w:p>
      <w:pPr>
        <w:pStyle w:val="ListParagraph"/>
        <w:numPr>
          <w:ilvl w:val="0"/>
          <w:numId w:val="2"/>
        </w:numPr>
      </w:pPr>
      <w:r>
        <w:t xml:space="preserve">Wireworms have one sign, so a grower can only ever get a weak match for them.</w:t>
      </w:r>
    </w:p>
    <w:p>
      <w:pPr>
        <w:pStyle w:val="ListParagraph"/>
        <w:numPr>
          <w:ilvl w:val="0"/>
          <w:numId w:val="2"/>
        </w:numPr>
      </w:pPr>
      <w:r>
        <w:t xml:space="preserve">Because wilting and tunnelled tubers each fit more than one potato pest, the cards should show size, colour and management advice, not signs alone.</w:t>
      </w:r>
    </w:p>
    <w:p>
      <w:pPr/>
      <w:r>
        <w:t xml:space="preserve">The limits of the evidence are clear. Every source is an RHS page, so each pest rests on one organisation's guidance. The workbook records the photo credits and licences as not independently verified, and slugs and snails have no size or colour. The RHS pages are written for gardeners, so they may not suit commercial growers. The site gives possible pests only, and growers should confirm a pest with trusted guidance before acting.</w:t>
      </w:r>
    </w:p>
    <w:p>
      <w:pPr>
        <w:pStyle w:val="Heading2"/>
      </w:pPr>
      <w:r>
        <w:t xml:space="preserve">References</w:t>
      </w:r>
    </w:p>
    <w:p>
      <w:pPr/>
      <w:r>
        <w:t xml:space="preserve">Numbers match the References sheet in the team workbook. All pages were accessed on 13 to 14 October 2026.</w:t>
      </w:r>
    </w:p>
    <w:p>
      <w:pPr>
        <w:pStyle w:val="ListParagraph"/>
        <w:numPr>
          <w:ilvl w:val="0"/>
          <w:numId w:val="3"/>
        </w:numPr>
      </w:pPr>
      <w:r>
        <w:t xml:space="preserve">Ref 1: Royal Horticultural Society (n.d.) </w:t>
      </w:r>
      <w:r>
        <w:rPr>
          <w:i/>
        </w:rPr>
        <w:t xml:space="preserve">Aphids</w:t>
      </w:r>
      <w:r>
        <w:t xml:space="preserve">. Available at: </w:t>
      </w:r>
      <w:hyperlink r:id="rId3" w:history="1">
        <w:r>
          <w:rPr>
            <w:rStyle w:val="Hyperlink"/>
          </w:rPr>
          <w:t xml:space="preserve">rhs.org.uk/biodiversity/aphids</w:t>
        </w:r>
      </w:hyperlink>
    </w:p>
    <w:p>
      <w:pPr>
        <w:pStyle w:val="ListParagraph"/>
        <w:numPr>
          <w:ilvl w:val="0"/>
          <w:numId w:val="3"/>
        </w:numPr>
      </w:pPr>
      <w:r>
        <w:t xml:space="preserve">Ref 3: Royal Horticultural Society (n.d.) </w:t>
      </w:r>
      <w:r>
        <w:rPr>
          <w:i/>
        </w:rPr>
        <w:t xml:space="preserve">Glasshouse whitefly</w:t>
      </w:r>
      <w:r>
        <w:t xml:space="preserve">. Available at: </w:t>
      </w:r>
      <w:hyperlink r:id="rId4" w:history="1">
        <w:r>
          <w:rPr>
            <w:rStyle w:val="Hyperlink"/>
          </w:rPr>
          <w:t xml:space="preserve">rhs.org.uk/biodiversity/glasshouse-whitefly</w:t>
        </w:r>
      </w:hyperlink>
    </w:p>
    <w:p>
      <w:pPr>
        <w:pStyle w:val="ListParagraph"/>
        <w:numPr>
          <w:ilvl w:val="0"/>
          <w:numId w:val="3"/>
        </w:numPr>
      </w:pPr>
      <w:r>
        <w:t xml:space="preserve">Ref 6: Royal Horticultural Society (n.d.) </w:t>
      </w:r>
      <w:r>
        <w:rPr>
          <w:i/>
        </w:rPr>
        <w:t xml:space="preserve">Glasshouse red spider mite</w:t>
      </w:r>
      <w:r>
        <w:t xml:space="preserve">. Available at: </w:t>
      </w:r>
      <w:hyperlink r:id="rId5" w:history="1">
        <w:r>
          <w:rPr>
            <w:rStyle w:val="Hyperlink"/>
          </w:rPr>
          <w:t xml:space="preserve">rhs.org.uk/biodiversity/glasshouse-red-spider-mite</w:t>
        </w:r>
      </w:hyperlink>
    </w:p>
    <w:p>
      <w:pPr>
        <w:pStyle w:val="ListParagraph"/>
        <w:numPr>
          <w:ilvl w:val="0"/>
          <w:numId w:val="3"/>
        </w:numPr>
      </w:pPr>
      <w:r>
        <w:t xml:space="preserve">Ref 7: Royal Horticultural Society (n.d.) </w:t>
      </w:r>
      <w:r>
        <w:rPr>
          <w:i/>
        </w:rPr>
        <w:t xml:space="preserve">Thrips</w:t>
      </w:r>
      <w:r>
        <w:t xml:space="preserve">. Available at: </w:t>
      </w:r>
      <w:hyperlink r:id="rId6" w:history="1">
        <w:r>
          <w:rPr>
            <w:rStyle w:val="Hyperlink"/>
          </w:rPr>
          <w:t xml:space="preserve">rhs.org.uk/biodiversity/thrips</w:t>
        </w:r>
      </w:hyperlink>
    </w:p>
    <w:p>
      <w:pPr>
        <w:pStyle w:val="ListParagraph"/>
        <w:numPr>
          <w:ilvl w:val="0"/>
          <w:numId w:val="3"/>
        </w:numPr>
      </w:pPr>
      <w:r>
        <w:t xml:space="preserve">Ref 8: Royal Horticultural Society (n.d.) </w:t>
      </w:r>
      <w:r>
        <w:rPr>
          <w:i/>
        </w:rPr>
        <w:t xml:space="preserve">Slugs and snails</w:t>
      </w:r>
      <w:r>
        <w:t xml:space="preserve">. Available at: </w:t>
      </w:r>
      <w:hyperlink r:id="rId7" w:history="1">
        <w:r>
          <w:rPr>
            <w:rStyle w:val="Hyperlink"/>
          </w:rPr>
          <w:t xml:space="preserve">rhs.org.uk/biodiversity/slugs-and-snails</w:t>
        </w:r>
      </w:hyperlink>
    </w:p>
    <w:p>
      <w:pPr>
        <w:pStyle w:val="ListParagraph"/>
        <w:numPr>
          <w:ilvl w:val="0"/>
          <w:numId w:val="3"/>
        </w:numPr>
      </w:pPr>
      <w:r>
        <w:t xml:space="preserve">Ref 9: Royal Horticultural Society (n.d.) </w:t>
      </w:r>
      <w:r>
        <w:rPr>
          <w:i/>
        </w:rPr>
        <w:t xml:space="preserve">Wireworms</w:t>
      </w:r>
      <w:r>
        <w:t xml:space="preserve">. Available at: </w:t>
      </w:r>
      <w:hyperlink r:id="rId8" w:history="1">
        <w:r>
          <w:rPr>
            <w:rStyle w:val="Hyperlink"/>
          </w:rPr>
          <w:t xml:space="preserve">rhs.org.uk/biodiversity/wireworms</w:t>
        </w:r>
      </w:hyperlink>
    </w:p>
    <w:p>
      <w:pPr>
        <w:pStyle w:val="ListParagraph"/>
        <w:numPr>
          <w:ilvl w:val="0"/>
          <w:numId w:val="3"/>
        </w:numPr>
      </w:pPr>
      <w:r>
        <w:t xml:space="preserve">Ref 10: Royal Horticultural Society (n.d.) </w:t>
      </w:r>
      <w:r>
        <w:rPr>
          <w:i/>
        </w:rPr>
        <w:t xml:space="preserve">Potato cyst nematodes</w:t>
      </w:r>
      <w:r>
        <w:t xml:space="preserve">. Available at: </w:t>
      </w:r>
      <w:hyperlink r:id="rId9" w:history="1">
        <w:r>
          <w:rPr>
            <w:rStyle w:val="Hyperlink"/>
          </w:rPr>
          <w:t xml:space="preserve">rhs.org.uk/biodiversity/potato-cyst-nematodes</w:t>
        </w:r>
      </w:hyperlink>
    </w:p>
    <w:p>
      <w:pPr>
        <w:pStyle w:val="ListParagraph"/>
        <w:numPr>
          <w:ilvl w:val="0"/>
          <w:numId w:val="3"/>
        </w:numPr>
      </w:pPr>
      <w:r>
        <w:t xml:space="preserve">Ref 11: Royal Horticultural Society (n.d.) </w:t>
      </w:r>
      <w:r>
        <w:rPr>
          <w:i/>
        </w:rPr>
        <w:t xml:space="preserve">How to grow tomatoes</w:t>
      </w:r>
      <w:r>
        <w:t xml:space="preserve">. Available at: </w:t>
      </w:r>
      <w:hyperlink r:id="rId10" w:history="1">
        <w:r>
          <w:rPr>
            <w:rStyle w:val="Hyperlink"/>
          </w:rPr>
          <w:t xml:space="preserve">rhs.org.uk/vegetables/tomatoes/grow-your-own</w:t>
        </w:r>
      </w:hyperlink>
    </w:p>
    <w:p>
      <w:pPr>
        <w:pStyle w:val="ListParagraph"/>
        <w:numPr>
          <w:ilvl w:val="0"/>
          <w:numId w:val="3"/>
        </w:numPr>
      </w:pPr>
      <w:r>
        <w:t xml:space="preserve">Ref 13: Royal Horticultural Society (n.d.) </w:t>
      </w:r>
      <w:r>
        <w:rPr>
          <w:i/>
        </w:rPr>
        <w:t xml:space="preserve">How to grow potatoes</w:t>
      </w:r>
      <w:r>
        <w:t xml:space="preserve">. Available at: </w:t>
      </w:r>
      <w:hyperlink r:id="rId11" w:history="1">
        <w:r>
          <w:rPr>
            <w:rStyle w:val="Hyperlink"/>
          </w:rPr>
          <w:t xml:space="preserve">rhs.org.uk/vegetables/potatoes/grow-your-own</w:t>
        </w:r>
      </w:hyperlink>
    </w:p>
    <w:p>
      <w:pPr>
        <w:pStyle w:val="ListParagraph"/>
        <w:numPr>
          <w:ilvl w:val="0"/>
          <w:numId w:val="3"/>
        </w:numPr>
      </w:pPr>
      <w:r>
        <w:t xml:space="preserve">Ref 17: Royal Horticultural Society (n.d.) </w:t>
      </w:r>
      <w:r>
        <w:rPr>
          <w:i/>
        </w:rPr>
        <w:t xml:space="preserve">Cutworms</w:t>
      </w:r>
      <w:r>
        <w:t xml:space="preserve">. Available at: </w:t>
      </w:r>
      <w:hyperlink r:id="rId12" w:history="1">
        <w:r>
          <w:rPr>
            <w:rStyle w:val="Hyperlink"/>
          </w:rPr>
          <w:t xml:space="preserve">rhs.org.uk/biodiversity/cutworms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rhs.org.uk/biodiversity/aphids" TargetMode="External"/><Relationship Id="rId4" Type="http://schemas.openxmlformats.org/officeDocument/2006/relationships/hyperlink" Target="https://www.rhs.org.uk/biodiversity/glasshouse-whitefly" TargetMode="External"/><Relationship Id="rId5" Type="http://schemas.openxmlformats.org/officeDocument/2006/relationships/hyperlink" Target="https://www.rhs.org.uk/biodiversity/glasshouse-red-spider-mite" TargetMode="External"/><Relationship Id="rId6" Type="http://schemas.openxmlformats.org/officeDocument/2006/relationships/hyperlink" Target="https://www.rhs.org.uk/biodiversity/thrips" TargetMode="External"/><Relationship Id="rId7" Type="http://schemas.openxmlformats.org/officeDocument/2006/relationships/hyperlink" Target="https://www.rhs.org.uk/biodiversity/slugs-and-snails" TargetMode="External"/><Relationship Id="rId8" Type="http://schemas.openxmlformats.org/officeDocument/2006/relationships/hyperlink" Target="https://www.rhs.org.uk/biodiversity/wireworms" TargetMode="External"/><Relationship Id="rId9" Type="http://schemas.openxmlformats.org/officeDocument/2006/relationships/hyperlink" Target="https://www.rhs.org.uk/biodiversity/potato-cyst-nematodes" TargetMode="External"/><Relationship Id="rId10" Type="http://schemas.openxmlformats.org/officeDocument/2006/relationships/hyperlink" Target="https://www.rhs.org.uk/vegetables/tomatoes/grow-your-own" TargetMode="External"/><Relationship Id="rId11" Type="http://schemas.openxmlformats.org/officeDocument/2006/relationships/hyperlink" Target="https://www.rhs.org.uk/vegetables/potatoes/grow-your-own" TargetMode="External"/><Relationship Id="rId12" Type="http://schemas.openxmlformats.org/officeDocument/2006/relationships/hyperlink" Target="https://www.rhs.org.uk/biodiversity/cutworm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Pest Risks for Tomato and Potato Crops in the UK</dc:title>
  <dc:description>Claude Docs node/a03d9b8d-0830@9 docx-w7</dc:description>
  <cp:revision>9</cp:revision>
</cp:coreProperties>
</file>