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120" w:line="360"/>
        <w:jc w:val="center"/>
      </w:pPr>
      <w:r>
        <w:rPr>
          <w:rFonts w:ascii="Times New Roman" w:cs="Times New Roman" w:eastAsia="Times New Roman" w:hAnsi="Times New Roman"/>
          <w:b/>
          <w:bCs/>
          <w:i w:val="false"/>
          <w:iCs w:val="false"/>
          <w:sz w:val="28"/>
          <w:szCs w:val="28"/>
        </w:rPr>
        <w:t xml:space="preserve">[ΠΑΝΕΠΙΣΤΗΜΙΟ]</w:t>
      </w:r>
    </w:p>
    <w:p>
      <w:pPr>
        <w:spacing w:after="120" w:line="360"/>
        <w:jc w:val="center"/>
      </w:pPr>
      <w:r>
        <w:rPr>
          <w:rFonts w:ascii="Times New Roman" w:cs="Times New Roman" w:eastAsia="Times New Roman" w:hAnsi="Times New Roman"/>
          <w:b/>
          <w:bCs/>
          <w:i w:val="false"/>
          <w:iCs w:val="false"/>
          <w:sz w:val="26"/>
          <w:szCs w:val="26"/>
        </w:rPr>
        <w:t xml:space="preserve">[ΤΜΗΜΑ]</w:t>
      </w:r>
    </w:p>
    <w:p>
      <w:pPr>
        <w:spacing w:before="1200"/>
      </w:pPr>
    </w:p>
    <w:p>
      <w:pPr>
        <w:spacing w:after="600" w:before="600"/>
        <w:jc w:val="center"/>
      </w:pPr>
      <w:r>
        <w:rPr>
          <w:rFonts w:ascii="Times New Roman" w:cs="Times New Roman" w:eastAsia="Times New Roman" w:hAnsi="Times New Roman"/>
          <w:b/>
          <w:bCs/>
          <w:i w:val="false"/>
          <w:iCs w:val="false"/>
          <w:sz w:val="32"/>
          <w:szCs w:val="32"/>
        </w:rPr>
        <w:t xml:space="preserve">ΔΙΠΛΩΜΑΤΙΚΗ ΕΡΓΑΣΙΑ</w:t>
      </w:r>
    </w:p>
    <w:p>
      <w:pPr>
        <w:spacing w:before="400"/>
      </w:pPr>
    </w:p>
    <w:p>
      <w:pPr>
        <w:spacing w:after="100"/>
        <w:jc w:val="center"/>
      </w:pPr>
      <w:r>
        <w:rPr>
          <w:rFonts w:ascii="Times New Roman" w:cs="Times New Roman" w:eastAsia="Times New Roman" w:hAnsi="Times New Roman"/>
          <w:b/>
          <w:bCs/>
          <w:i w:val="false"/>
          <w:iCs w:val="false"/>
          <w:sz w:val="30"/>
          <w:szCs w:val="30"/>
        </w:rPr>
        <w:t xml:space="preserve">Ο ΡΟΛΟΣ ΤΗΣ ΕΚΠΑΙΔΕΥΣΗΣ ΜΕΣΩ ΑΣΚΗΣΕΩΝ</w:t>
      </w:r>
    </w:p>
    <w:p>
      <w:pPr>
        <w:spacing w:after="100"/>
        <w:jc w:val="center"/>
      </w:pPr>
      <w:r>
        <w:rPr>
          <w:rFonts w:ascii="Times New Roman" w:cs="Times New Roman" w:eastAsia="Times New Roman" w:hAnsi="Times New Roman"/>
          <w:b/>
          <w:bCs/>
          <w:i w:val="false"/>
          <w:iCs w:val="false"/>
          <w:sz w:val="30"/>
          <w:szCs w:val="30"/>
        </w:rPr>
        <w:t xml:space="preserve">ΣΤΗ ΒΕΛΤΙΩΣΗ ΤΗΣ ΕΠΙΧΕΙΡΗΣΙΑΚΗΣ ΕΤΟΙΜΟΤΗΤΑΣ</w:t>
      </w:r>
    </w:p>
    <w:p>
      <w:pPr>
        <w:spacing w:after="800"/>
        <w:jc w:val="center"/>
      </w:pPr>
      <w:r>
        <w:rPr>
          <w:rFonts w:ascii="Times New Roman" w:cs="Times New Roman" w:eastAsia="Times New Roman" w:hAnsi="Times New Roman"/>
          <w:b/>
          <w:bCs/>
          <w:i w:val="false"/>
          <w:iCs w:val="false"/>
          <w:sz w:val="30"/>
          <w:szCs w:val="30"/>
        </w:rPr>
        <w:t xml:space="preserve">ΤΟΥ ΠΥΡΟΣΒΕΣΤΙΚΟΥ ΣΩΜΑΤΟΣ</w:t>
      </w:r>
    </w:p>
    <w:p>
      <w:pPr>
        <w:spacing w:before="1200"/>
      </w:pPr>
    </w:p>
    <w:p>
      <w:pPr>
        <w:spacing w:after="200"/>
        <w:jc w:val="center"/>
      </w:pPr>
      <w:r>
        <w:rPr>
          <w:rFonts w:ascii="Times New Roman" w:cs="Times New Roman" w:eastAsia="Times New Roman" w:hAnsi="Times New Roman"/>
          <w:b w:val="false"/>
          <w:bCs w:val="false"/>
          <w:i w:val="false"/>
          <w:iCs w:val="false"/>
          <w:sz w:val="26"/>
          <w:szCs w:val="26"/>
        </w:rPr>
        <w:t xml:space="preserve">Φοιτητής: Άγγελος Καλαφατάκης</w:t>
      </w:r>
    </w:p>
    <w:p>
      <w:pPr>
        <w:spacing w:after="600"/>
        <w:jc w:val="center"/>
      </w:pPr>
      <w:r>
        <w:rPr>
          <w:rFonts w:ascii="Times New Roman" w:cs="Times New Roman" w:eastAsia="Times New Roman" w:hAnsi="Times New Roman"/>
          <w:b w:val="false"/>
          <w:bCs w:val="false"/>
          <w:i w:val="false"/>
          <w:iCs w:val="false"/>
          <w:sz w:val="26"/>
          <w:szCs w:val="26"/>
        </w:rPr>
        <w:t xml:space="preserve">Επιβλέπων Καθηγητής: [ΕΠΙΒΛΕΠΩΝ ΚΑΘΗΓΗΤΗΣ]</w:t>
      </w:r>
    </w:p>
    <w:p>
      <w:pPr>
        <w:spacing w:after="200"/>
        <w:jc w:val="center"/>
      </w:pPr>
      <w:r>
        <w:rPr>
          <w:rFonts w:ascii="Times New Roman" w:cs="Times New Roman" w:eastAsia="Times New Roman" w:hAnsi="Times New Roman"/>
          <w:b w:val="false"/>
          <w:bCs w:val="false"/>
          <w:i w:val="false"/>
          <w:iCs w:val="false"/>
          <w:sz w:val="24"/>
          <w:szCs w:val="24"/>
        </w:rPr>
        <w:t xml:space="preserve">[ΠΟΛΗ], [ΕΤΟΣ]</w:t>
      </w:r>
    </w:p>
    <w:p>
      <w:pPr>
        <w:pageBreakBefore/>
        <w:spacing w:after="240" w:before="480" w:line="360"/>
        <w:jc w:val="center"/>
      </w:pPr>
      <w:r>
        <w:rPr>
          <w:rFonts w:ascii="Times New Roman" w:cs="Times New Roman" w:eastAsia="Times New Roman" w:hAnsi="Times New Roman"/>
          <w:b/>
          <w:bCs/>
          <w:i w:val="false"/>
          <w:iCs w:val="false"/>
          <w:sz w:val="28"/>
          <w:szCs w:val="28"/>
        </w:rPr>
        <w:t xml:space="preserve">ΠΕΡΙΛΗΨΗ</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παρούσα εργασία εξετάζει τον ρόλο της εκπαίδευσης μέσω ασκήσεων στη βελτίωση της επιχειρησιακής ετοιμότητας του Πυροσβεστικού Σώματος. Αρχικά, αναλύεται η πολυδιάστατη έννοια της επιχειρησιακής ετοιμότητας — σωματική, τεχνική, ψυχολογική, οργανωσιακή — και τα θεωρητικά θεμέλια που τεκμηριώνουν τη σημασία της πρακτικής εξάσκησης: η βιωματική μάθηση (Kolb, 1984), η στοχευμένη εξάσκηση (Ericsson, 2006) και οι μη τεχνικές δεξιότητες (Flin et al., 2008). Στη συνέχεια, παρουσιάζεται το εκπαιδευτικό σύστημα του Πυροσβεστικού Σώματος, οι τύποι ασκήσεων (επί χάρτου, πεδίου, προσομοίωσης, εξειδικευμένες) και η επίδρασή τους σε κάθε διάσταση της ετοιμότητας. Μέσα από τρία case studies — την πυρκαγιά στο Μάτι (2018), τις ασκήσεις MODEX της ΕΜΑΚ, και τις πυρκαγιές του 2021 — αναδεικνύονται τόσο τα κενά που αποκαλύφθηκαν από ανεπαρκή εκπαίδευση όσο και τα θετικά αποτελέσματα της συστηματικής εξάσκησης. Εξετάζεται ο ρόλος σύγχρονων τεχνολογιών (προσομοιωτές, VR, drones, GIS) ως συμπληρωματικών εργαλείων εκπαίδευσης. Τέλος, διατυπώνονται τεκμηριωμένες προτάσεις βελτίωσης, με έμφαση στην ενίσχυση της βιωματικής μάθησης, την αξιοποίηση τεχνολογίας, την ανάπτυξη μη τεχνικών δεξιοτήτων, τη διεύρυνση της διεθνούς συνεργασίας και την ψυχολογική υποστήριξη του προσωπικού.</w:t>
      </w:r>
    </w:p>
    <w:p>
      <w:pPr>
        <w:spacing w:before="240" w:line="360"/>
        <w:jc w:val="both"/>
      </w:pPr>
      <w:r>
        <w:rPr>
          <w:rFonts w:ascii="Times New Roman" w:cs="Times New Roman" w:eastAsia="Times New Roman" w:hAnsi="Times New Roman"/>
          <w:b/>
          <w:bCs/>
          <w:i w:val="false"/>
          <w:iCs w:val="false"/>
          <w:sz w:val="24"/>
          <w:szCs w:val="24"/>
        </w:rPr>
        <w:t xml:space="preserve">Λέξεις-κλειδιά: </w:t>
      </w:r>
      <w:r>
        <w:rPr>
          <w:rFonts w:ascii="Times New Roman" w:cs="Times New Roman" w:eastAsia="Times New Roman" w:hAnsi="Times New Roman"/>
          <w:b w:val="false"/>
          <w:bCs w:val="false"/>
          <w:i/>
          <w:iCs/>
          <w:sz w:val="24"/>
          <w:szCs w:val="24"/>
        </w:rPr>
        <w:t xml:space="preserve">επιχειρησιακή ετοιμότητα, εκπαίδευση πυροσβεστών, ασκήσεις, βιωματική μάθηση, Πυροσβεστικό Σώμα, πολιτική προστασία, μη τεχνικές δεξιότητες</w:t>
      </w:r>
    </w:p>
    <w:p>
      <w:pPr>
        <w:pageBreakBefore/>
        <w:spacing w:after="240" w:before="480" w:line="360"/>
        <w:jc w:val="center"/>
      </w:pPr>
      <w:r>
        <w:rPr>
          <w:rFonts w:ascii="Times New Roman" w:cs="Times New Roman" w:eastAsia="Times New Roman" w:hAnsi="Times New Roman"/>
          <w:b/>
          <w:bCs/>
          <w:i w:val="false"/>
          <w:iCs w:val="false"/>
          <w:sz w:val="28"/>
          <w:szCs w:val="28"/>
        </w:rPr>
        <w:t xml:space="preserve">ABSTRACT</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This thesis examines the role of exercise-based training in enhancing the operational readiness of the Hellenic Fire Service. It begins by analyzing the multidimensional concept of operational readiness — physical, technical, psychological, and organizational — and the theoretical foundations that underpin the value of practical training: experiential learning (Kolb, 1984), deliberate practice (Ericsson, 2006), and non-technical skills (Flin et al., 2008). The training system of the Hellenic Fire Service is then presented, including the types of exercises (tabletop, field, simulation, and specialized) and their impact on each dimension of readiness. Three case studies — the Mati wildfire (2018), MODEX exercises involving Greece's Special Disaster Response Unit (EMAK), and the 2021 wildfires — illustrate both the deficiencies revealed by inadequate training and the positive outcomes of systematic practice. The role of modern technologies (simulators, VR, drones, GIS) as complementary training tools is also examined. Finally, evidence-based recommendations are formulated, emphasizing enhanced experiential learning, technology integration, development of non-technical skills, expansion of international cooperation, and psychological support for personnel.</w:t>
      </w:r>
    </w:p>
    <w:p>
      <w:pPr>
        <w:spacing w:before="240" w:line="360"/>
        <w:jc w:val="both"/>
      </w:pPr>
      <w:r>
        <w:rPr>
          <w:rFonts w:ascii="Times New Roman" w:cs="Times New Roman" w:eastAsia="Times New Roman" w:hAnsi="Times New Roman"/>
          <w:b/>
          <w:bCs/>
          <w:i w:val="false"/>
          <w:iCs w:val="false"/>
          <w:sz w:val="24"/>
          <w:szCs w:val="24"/>
        </w:rPr>
        <w:t xml:space="preserve">Keywords: </w:t>
      </w:r>
      <w:r>
        <w:rPr>
          <w:rFonts w:ascii="Times New Roman" w:cs="Times New Roman" w:eastAsia="Times New Roman" w:hAnsi="Times New Roman"/>
          <w:b w:val="false"/>
          <w:bCs w:val="false"/>
          <w:i/>
          <w:iCs/>
          <w:sz w:val="24"/>
          <w:szCs w:val="24"/>
        </w:rPr>
        <w:t xml:space="preserve">operational readiness, firefighter training, exercises, experiential learning, Hellenic Fire Service, civil protection, non-technical skills</w:t>
      </w:r>
    </w:p>
    <w:p>
      <w:pPr>
        <w:pageBreakBefore/>
        <w:spacing w:after="240" w:before="480" w:line="360"/>
        <w:jc w:val="center"/>
      </w:pPr>
      <w:r>
        <w:rPr>
          <w:rFonts w:ascii="Times New Roman" w:cs="Times New Roman" w:eastAsia="Times New Roman" w:hAnsi="Times New Roman"/>
          <w:b/>
          <w:bCs/>
          <w:i w:val="false"/>
          <w:iCs w:val="false"/>
          <w:sz w:val="28"/>
          <w:szCs w:val="28"/>
        </w:rPr>
        <w:t xml:space="preserve">ΠΙΝΑΚΑΣ ΠΕΡΙΕΧΟΜΕΝΩΝ</w:t>
      </w:r>
    </w:p>
    <w:p>
      <w:pPr>
        <w:spacing w:after="80" w:line="300"/>
      </w:pPr>
      <w:r>
        <w:rPr>
          <w:rFonts w:ascii="Times New Roman" w:cs="Times New Roman" w:eastAsia="Times New Roman" w:hAnsi="Times New Roman"/>
          <w:b/>
          <w:bCs/>
          <w:i w:val="false"/>
          <w:iCs w:val="false"/>
          <w:sz w:val="24"/>
          <w:szCs w:val="24"/>
        </w:rPr>
        <w:t xml:space="preserve">ΠΕΡΙΛΗΨΗ</w:t>
      </w:r>
    </w:p>
    <w:p>
      <w:pPr>
        <w:spacing w:after="80" w:line="300"/>
      </w:pPr>
      <w:r>
        <w:rPr>
          <w:rFonts w:ascii="Times New Roman" w:cs="Times New Roman" w:eastAsia="Times New Roman" w:hAnsi="Times New Roman"/>
          <w:b/>
          <w:bCs/>
          <w:i w:val="false"/>
          <w:iCs w:val="false"/>
          <w:sz w:val="24"/>
          <w:szCs w:val="24"/>
        </w:rPr>
        <w:t xml:space="preserve">ABSTRACT</w:t>
      </w:r>
    </w:p>
    <w:p>
      <w:pPr>
        <w:spacing w:after="80" w:line="300"/>
      </w:pPr>
      <w:r>
        <w:rPr>
          <w:rFonts w:ascii="Times New Roman" w:cs="Times New Roman" w:eastAsia="Times New Roman" w:hAnsi="Times New Roman"/>
          <w:b/>
          <w:bCs/>
          <w:i w:val="false"/>
          <w:iCs w:val="false"/>
          <w:sz w:val="24"/>
          <w:szCs w:val="24"/>
        </w:rPr>
        <w:t xml:space="preserve">ΚΕΦΑΛΑΙΟ 1: ΕΙΣΑΓΩΓΗ</w:t>
      </w:r>
    </w:p>
    <w:p>
      <w:pPr>
        <w:spacing w:after="40" w:line="300"/>
        <w:ind w:left="720"/>
      </w:pPr>
      <w:r>
        <w:rPr>
          <w:rFonts w:ascii="Times New Roman" w:cs="Times New Roman" w:eastAsia="Times New Roman" w:hAnsi="Times New Roman"/>
          <w:b w:val="false"/>
          <w:bCs w:val="false"/>
          <w:i w:val="false"/>
          <w:iCs w:val="false"/>
          <w:sz w:val="22"/>
          <w:szCs w:val="22"/>
        </w:rPr>
        <w:t xml:space="preserve">1.1 Αντικείμενο και σκοπός της εργασίας</w:t>
      </w:r>
    </w:p>
    <w:p>
      <w:pPr>
        <w:spacing w:after="40" w:line="300"/>
        <w:ind w:left="720"/>
      </w:pPr>
      <w:r>
        <w:rPr>
          <w:rFonts w:ascii="Times New Roman" w:cs="Times New Roman" w:eastAsia="Times New Roman" w:hAnsi="Times New Roman"/>
          <w:b w:val="false"/>
          <w:bCs w:val="false"/>
          <w:i w:val="false"/>
          <w:iCs w:val="false"/>
          <w:sz w:val="22"/>
          <w:szCs w:val="22"/>
        </w:rPr>
        <w:t xml:space="preserve">1.2 Μεθοδολογική προσέγγιση</w:t>
      </w:r>
    </w:p>
    <w:p>
      <w:pPr>
        <w:spacing w:after="40" w:line="300"/>
        <w:ind w:left="720"/>
      </w:pPr>
      <w:r>
        <w:rPr>
          <w:rFonts w:ascii="Times New Roman" w:cs="Times New Roman" w:eastAsia="Times New Roman" w:hAnsi="Times New Roman"/>
          <w:b w:val="false"/>
          <w:bCs w:val="false"/>
          <w:i w:val="false"/>
          <w:iCs w:val="false"/>
          <w:sz w:val="22"/>
          <w:szCs w:val="22"/>
        </w:rPr>
        <w:t xml:space="preserve">1.3 Δομή της εργασίας</w:t>
      </w:r>
    </w:p>
    <w:p>
      <w:pPr>
        <w:spacing w:after="80" w:line="300"/>
      </w:pPr>
      <w:r>
        <w:rPr>
          <w:rFonts w:ascii="Times New Roman" w:cs="Times New Roman" w:eastAsia="Times New Roman" w:hAnsi="Times New Roman"/>
          <w:b/>
          <w:bCs/>
          <w:i w:val="false"/>
          <w:iCs w:val="false"/>
          <w:sz w:val="24"/>
          <w:szCs w:val="24"/>
        </w:rPr>
        <w:t xml:space="preserve">ΚΕΦΑΛΑΙΟ 2: ΘΕΩΡΗΤΙΚΟ ΠΛΑΙΣΙΟ</w:t>
      </w:r>
    </w:p>
    <w:p>
      <w:pPr>
        <w:spacing w:after="40" w:line="300"/>
        <w:ind w:left="720"/>
      </w:pPr>
      <w:r>
        <w:rPr>
          <w:rFonts w:ascii="Times New Roman" w:cs="Times New Roman" w:eastAsia="Times New Roman" w:hAnsi="Times New Roman"/>
          <w:b w:val="false"/>
          <w:bCs w:val="false"/>
          <w:i w:val="false"/>
          <w:iCs w:val="false"/>
          <w:sz w:val="22"/>
          <w:szCs w:val="22"/>
        </w:rPr>
        <w:t xml:space="preserve">2.1 Η έννοια της επιχειρησιακής ετοιμότητας</w:t>
      </w:r>
    </w:p>
    <w:p>
      <w:pPr>
        <w:spacing w:after="40" w:line="300"/>
        <w:ind w:left="720"/>
      </w:pPr>
      <w:r>
        <w:rPr>
          <w:rFonts w:ascii="Times New Roman" w:cs="Times New Roman" w:eastAsia="Times New Roman" w:hAnsi="Times New Roman"/>
          <w:b w:val="false"/>
          <w:bCs w:val="false"/>
          <w:i w:val="false"/>
          <w:iCs w:val="false"/>
          <w:sz w:val="22"/>
          <w:szCs w:val="22"/>
        </w:rPr>
        <w:t xml:space="preserve">2.2 Θεωρίες μάθησης και εκπαίδευσης ενηλίκων</w:t>
      </w:r>
    </w:p>
    <w:p>
      <w:pPr>
        <w:spacing w:after="40" w:line="300"/>
        <w:ind w:left="720"/>
      </w:pPr>
      <w:r>
        <w:rPr>
          <w:rFonts w:ascii="Times New Roman" w:cs="Times New Roman" w:eastAsia="Times New Roman" w:hAnsi="Times New Roman"/>
          <w:b w:val="false"/>
          <w:bCs w:val="false"/>
          <w:i w:val="false"/>
          <w:iCs w:val="false"/>
          <w:sz w:val="22"/>
          <w:szCs w:val="22"/>
        </w:rPr>
        <w:t xml:space="preserve">2.3 Η εκπαίδευση σε επαγγέλματα υψηλού κινδύνου</w:t>
      </w:r>
    </w:p>
    <w:p>
      <w:pPr>
        <w:spacing w:after="80" w:line="300"/>
      </w:pPr>
      <w:r>
        <w:rPr>
          <w:rFonts w:ascii="Times New Roman" w:cs="Times New Roman" w:eastAsia="Times New Roman" w:hAnsi="Times New Roman"/>
          <w:b/>
          <w:bCs/>
          <w:i w:val="false"/>
          <w:iCs w:val="false"/>
          <w:sz w:val="24"/>
          <w:szCs w:val="24"/>
        </w:rPr>
        <w:t xml:space="preserve">ΚΕΦΑΛΑΙΟ 3: ΤΟ ΠΥΡΟΣΒΕΣΤΙΚΟ ΣΩΜΑ</w:t>
      </w:r>
    </w:p>
    <w:p>
      <w:pPr>
        <w:spacing w:after="40" w:line="300"/>
        <w:ind w:left="720"/>
      </w:pPr>
      <w:r>
        <w:rPr>
          <w:rFonts w:ascii="Times New Roman" w:cs="Times New Roman" w:eastAsia="Times New Roman" w:hAnsi="Times New Roman"/>
          <w:b w:val="false"/>
          <w:bCs w:val="false"/>
          <w:i w:val="false"/>
          <w:iCs w:val="false"/>
          <w:sz w:val="22"/>
          <w:szCs w:val="22"/>
        </w:rPr>
        <w:t xml:space="preserve">3.1 Η αποστολή και ο ρόλος του ΠΣ στην Ελλάδα</w:t>
      </w:r>
    </w:p>
    <w:p>
      <w:pPr>
        <w:spacing w:after="40" w:line="300"/>
        <w:ind w:left="720"/>
      </w:pPr>
      <w:r>
        <w:rPr>
          <w:rFonts w:ascii="Times New Roman" w:cs="Times New Roman" w:eastAsia="Times New Roman" w:hAnsi="Times New Roman"/>
          <w:b w:val="false"/>
          <w:bCs w:val="false"/>
          <w:i w:val="false"/>
          <w:iCs w:val="false"/>
          <w:sz w:val="22"/>
          <w:szCs w:val="22"/>
        </w:rPr>
        <w:t xml:space="preserve">3.2 Σωματικές, τεχνικές και ψυχολογικές απαιτήσεις</w:t>
      </w:r>
    </w:p>
    <w:p>
      <w:pPr>
        <w:spacing w:after="40" w:line="300"/>
        <w:ind w:left="720"/>
      </w:pPr>
      <w:r>
        <w:rPr>
          <w:rFonts w:ascii="Times New Roman" w:cs="Times New Roman" w:eastAsia="Times New Roman" w:hAnsi="Times New Roman"/>
          <w:b w:val="false"/>
          <w:bCs w:val="false"/>
          <w:i w:val="false"/>
          <w:iCs w:val="false"/>
          <w:sz w:val="22"/>
          <w:szCs w:val="22"/>
        </w:rPr>
        <w:t xml:space="preserve">3.3 Εξέλιξη των κινδύνων: κλιματική αλλαγή</w:t>
      </w:r>
    </w:p>
    <w:p>
      <w:pPr>
        <w:spacing w:after="80" w:line="300"/>
      </w:pPr>
      <w:r>
        <w:rPr>
          <w:rFonts w:ascii="Times New Roman" w:cs="Times New Roman" w:eastAsia="Times New Roman" w:hAnsi="Times New Roman"/>
          <w:b/>
          <w:bCs/>
          <w:i w:val="false"/>
          <w:iCs w:val="false"/>
          <w:sz w:val="24"/>
          <w:szCs w:val="24"/>
        </w:rPr>
        <w:t xml:space="preserve">ΚΕΦΑΛΑΙΟ 4: ΤΟ ΕΚΠΑΙΔΕΥΤΙΚΟ ΣΥΣΤΗΜΑ</w:t>
      </w:r>
    </w:p>
    <w:p>
      <w:pPr>
        <w:spacing w:after="40" w:line="300"/>
        <w:ind w:left="720"/>
      </w:pPr>
      <w:r>
        <w:rPr>
          <w:rFonts w:ascii="Times New Roman" w:cs="Times New Roman" w:eastAsia="Times New Roman" w:hAnsi="Times New Roman"/>
          <w:b w:val="false"/>
          <w:bCs w:val="false"/>
          <w:i w:val="false"/>
          <w:iCs w:val="false"/>
          <w:sz w:val="22"/>
          <w:szCs w:val="22"/>
        </w:rPr>
        <w:t xml:space="preserve">4.1 Βασική εκπαίδευση</w:t>
      </w:r>
    </w:p>
    <w:p>
      <w:pPr>
        <w:spacing w:after="40" w:line="300"/>
        <w:ind w:left="720"/>
      </w:pPr>
      <w:r>
        <w:rPr>
          <w:rFonts w:ascii="Times New Roman" w:cs="Times New Roman" w:eastAsia="Times New Roman" w:hAnsi="Times New Roman"/>
          <w:b w:val="false"/>
          <w:bCs w:val="false"/>
          <w:i w:val="false"/>
          <w:iCs w:val="false"/>
          <w:sz w:val="22"/>
          <w:szCs w:val="22"/>
        </w:rPr>
        <w:t xml:space="preserve">4.2 Συνεχιζόμενη εκπαίδευση</w:t>
      </w:r>
    </w:p>
    <w:p>
      <w:pPr>
        <w:spacing w:after="40" w:line="300"/>
        <w:ind w:left="720"/>
      </w:pPr>
      <w:r>
        <w:rPr>
          <w:rFonts w:ascii="Times New Roman" w:cs="Times New Roman" w:eastAsia="Times New Roman" w:hAnsi="Times New Roman"/>
          <w:b w:val="false"/>
          <w:bCs w:val="false"/>
          <w:i w:val="false"/>
          <w:iCs w:val="false"/>
          <w:sz w:val="22"/>
          <w:szCs w:val="22"/>
        </w:rPr>
        <w:t xml:space="preserve">4.3 Τύποι ασκήσεων</w:t>
      </w:r>
    </w:p>
    <w:p>
      <w:pPr>
        <w:spacing w:after="40" w:line="300"/>
        <w:ind w:left="720"/>
      </w:pPr>
      <w:r>
        <w:rPr>
          <w:rFonts w:ascii="Times New Roman" w:cs="Times New Roman" w:eastAsia="Times New Roman" w:hAnsi="Times New Roman"/>
          <w:b w:val="false"/>
          <w:bCs w:val="false"/>
          <w:i w:val="false"/>
          <w:iCs w:val="false"/>
          <w:sz w:val="22"/>
          <w:szCs w:val="22"/>
        </w:rPr>
        <w:t xml:space="preserve">4.4 Σχεδιασμός και αξιολόγηση ασκήσεων</w:t>
      </w:r>
    </w:p>
    <w:p>
      <w:pPr>
        <w:spacing w:after="80" w:line="300"/>
      </w:pPr>
      <w:r>
        <w:rPr>
          <w:rFonts w:ascii="Times New Roman" w:cs="Times New Roman" w:eastAsia="Times New Roman" w:hAnsi="Times New Roman"/>
          <w:b/>
          <w:bCs/>
          <w:i w:val="false"/>
          <w:iCs w:val="false"/>
          <w:sz w:val="24"/>
          <w:szCs w:val="24"/>
        </w:rPr>
        <w:t xml:space="preserve">ΚΕΦΑΛΑΙΟ 5: Η ΕΠΙΔΡΑΣΗ ΤΗΣ ΕΚΠΑΙΔΕΥΣΗΣ</w:t>
      </w:r>
    </w:p>
    <w:p>
      <w:pPr>
        <w:spacing w:after="40" w:line="300"/>
        <w:ind w:left="720"/>
      </w:pPr>
      <w:r>
        <w:rPr>
          <w:rFonts w:ascii="Times New Roman" w:cs="Times New Roman" w:eastAsia="Times New Roman" w:hAnsi="Times New Roman"/>
          <w:b w:val="false"/>
          <w:bCs w:val="false"/>
          <w:i w:val="false"/>
          <w:iCs w:val="false"/>
          <w:sz w:val="22"/>
          <w:szCs w:val="22"/>
        </w:rPr>
        <w:t xml:space="preserve">5.1 Επίδραση στη σωματική ετοιμότητα</w:t>
      </w:r>
    </w:p>
    <w:p>
      <w:pPr>
        <w:spacing w:after="40" w:line="300"/>
        <w:ind w:left="720"/>
      </w:pPr>
      <w:r>
        <w:rPr>
          <w:rFonts w:ascii="Times New Roman" w:cs="Times New Roman" w:eastAsia="Times New Roman" w:hAnsi="Times New Roman"/>
          <w:b w:val="false"/>
          <w:bCs w:val="false"/>
          <w:i w:val="false"/>
          <w:iCs w:val="false"/>
          <w:sz w:val="22"/>
          <w:szCs w:val="22"/>
        </w:rPr>
        <w:t xml:space="preserve">5.2 Επίδραση στην τεχνική επάρκεια</w:t>
      </w:r>
    </w:p>
    <w:p>
      <w:pPr>
        <w:spacing w:after="40" w:line="300"/>
        <w:ind w:left="720"/>
      </w:pPr>
      <w:r>
        <w:rPr>
          <w:rFonts w:ascii="Times New Roman" w:cs="Times New Roman" w:eastAsia="Times New Roman" w:hAnsi="Times New Roman"/>
          <w:b w:val="false"/>
          <w:bCs w:val="false"/>
          <w:i w:val="false"/>
          <w:iCs w:val="false"/>
          <w:sz w:val="22"/>
          <w:szCs w:val="22"/>
        </w:rPr>
        <w:t xml:space="preserve">5.3 Επίδραση στην ψυχολογική ανθεκτικότητα</w:t>
      </w:r>
    </w:p>
    <w:p>
      <w:pPr>
        <w:spacing w:after="40" w:line="300"/>
        <w:ind w:left="720"/>
      </w:pPr>
      <w:r>
        <w:rPr>
          <w:rFonts w:ascii="Times New Roman" w:cs="Times New Roman" w:eastAsia="Times New Roman" w:hAnsi="Times New Roman"/>
          <w:b w:val="false"/>
          <w:bCs w:val="false"/>
          <w:i w:val="false"/>
          <w:iCs w:val="false"/>
          <w:sz w:val="22"/>
          <w:szCs w:val="22"/>
        </w:rPr>
        <w:t xml:space="preserve">5.4 Επίδραση στην ομαδική συνεργασία</w:t>
      </w:r>
    </w:p>
    <w:p>
      <w:pPr>
        <w:spacing w:after="40" w:line="300"/>
        <w:ind w:left="720"/>
      </w:pPr>
      <w:r>
        <w:rPr>
          <w:rFonts w:ascii="Times New Roman" w:cs="Times New Roman" w:eastAsia="Times New Roman" w:hAnsi="Times New Roman"/>
          <w:b w:val="false"/>
          <w:bCs w:val="false"/>
          <w:i w:val="false"/>
          <w:iCs w:val="false"/>
          <w:sz w:val="22"/>
          <w:szCs w:val="22"/>
        </w:rPr>
        <w:t xml:space="preserve">5.5 Σχέση συχνότητας ασκήσεων και ετοιμότητας</w:t>
      </w:r>
    </w:p>
    <w:p>
      <w:pPr>
        <w:spacing w:after="80" w:line="300"/>
      </w:pPr>
      <w:r>
        <w:rPr>
          <w:rFonts w:ascii="Times New Roman" w:cs="Times New Roman" w:eastAsia="Times New Roman" w:hAnsi="Times New Roman"/>
          <w:b/>
          <w:bCs/>
          <w:i w:val="false"/>
          <w:iCs w:val="false"/>
          <w:sz w:val="24"/>
          <w:szCs w:val="24"/>
        </w:rPr>
        <w:t xml:space="preserve">ΚΕΦΑΛΑΙΟ 6: ΔΙΕΘΝΗΣ ΣΥΝΕΡΓΑΣΙΑ &amp; CASE STUDIES</w:t>
      </w:r>
    </w:p>
    <w:p>
      <w:pPr>
        <w:spacing w:after="40" w:line="300"/>
        <w:ind w:left="720"/>
      </w:pPr>
      <w:r>
        <w:rPr>
          <w:rFonts w:ascii="Times New Roman" w:cs="Times New Roman" w:eastAsia="Times New Roman" w:hAnsi="Times New Roman"/>
          <w:b w:val="false"/>
          <w:bCs w:val="false"/>
          <w:i w:val="false"/>
          <w:iCs w:val="false"/>
          <w:sz w:val="22"/>
          <w:szCs w:val="22"/>
        </w:rPr>
        <w:t xml:space="preserve">6.1 Ο Ευρωπαϊκός Μηχανισμός UCPM</w:t>
      </w:r>
    </w:p>
    <w:p>
      <w:pPr>
        <w:spacing w:after="40" w:line="300"/>
        <w:ind w:left="720"/>
      </w:pPr>
      <w:r>
        <w:rPr>
          <w:rFonts w:ascii="Times New Roman" w:cs="Times New Roman" w:eastAsia="Times New Roman" w:hAnsi="Times New Roman"/>
          <w:b w:val="false"/>
          <w:bCs w:val="false"/>
          <w:i w:val="false"/>
          <w:iCs w:val="false"/>
          <w:sz w:val="22"/>
          <w:szCs w:val="22"/>
        </w:rPr>
        <w:t xml:space="preserve">6.2 Case Study 1: Πυρκαγιά Μάτι (2018)</w:t>
      </w:r>
    </w:p>
    <w:p>
      <w:pPr>
        <w:spacing w:after="40" w:line="300"/>
        <w:ind w:left="720"/>
      </w:pPr>
      <w:r>
        <w:rPr>
          <w:rFonts w:ascii="Times New Roman" w:cs="Times New Roman" w:eastAsia="Times New Roman" w:hAnsi="Times New Roman"/>
          <w:b w:val="false"/>
          <w:bCs w:val="false"/>
          <w:i w:val="false"/>
          <w:iCs w:val="false"/>
          <w:sz w:val="22"/>
          <w:szCs w:val="22"/>
        </w:rPr>
        <w:t xml:space="preserve">6.3 Case Study 2: Ασκήσεις MODEX — ΕΜΑΚ</w:t>
      </w:r>
    </w:p>
    <w:p>
      <w:pPr>
        <w:spacing w:after="40" w:line="300"/>
        <w:ind w:left="720"/>
      </w:pPr>
      <w:r>
        <w:rPr>
          <w:rFonts w:ascii="Times New Roman" w:cs="Times New Roman" w:eastAsia="Times New Roman" w:hAnsi="Times New Roman"/>
          <w:b w:val="false"/>
          <w:bCs w:val="false"/>
          <w:i w:val="false"/>
          <w:iCs w:val="false"/>
          <w:sz w:val="22"/>
          <w:szCs w:val="22"/>
        </w:rPr>
        <w:t xml:space="preserve">6.4 Case Study 3: Πυρκαγιές 2021</w:t>
      </w:r>
    </w:p>
    <w:p>
      <w:pPr>
        <w:spacing w:after="40" w:line="300"/>
        <w:ind w:left="720"/>
      </w:pPr>
      <w:r>
        <w:rPr>
          <w:rFonts w:ascii="Times New Roman" w:cs="Times New Roman" w:eastAsia="Times New Roman" w:hAnsi="Times New Roman"/>
          <w:b w:val="false"/>
          <w:bCs w:val="false"/>
          <w:i w:val="false"/>
          <w:iCs w:val="false"/>
          <w:sz w:val="22"/>
          <w:szCs w:val="22"/>
        </w:rPr>
        <w:t xml:space="preserve">6.5 Οφέλη διακρατικών ασκήσεων</w:t>
      </w:r>
    </w:p>
    <w:p>
      <w:pPr>
        <w:spacing w:after="80" w:line="300"/>
      </w:pPr>
      <w:r>
        <w:rPr>
          <w:rFonts w:ascii="Times New Roman" w:cs="Times New Roman" w:eastAsia="Times New Roman" w:hAnsi="Times New Roman"/>
          <w:b/>
          <w:bCs/>
          <w:i w:val="false"/>
          <w:iCs w:val="false"/>
          <w:sz w:val="24"/>
          <w:szCs w:val="24"/>
        </w:rPr>
        <w:t xml:space="preserve">ΚΕΦΑΛΑΙΟ 7: Ο ΡΟΛΟΣ ΤΗΣ ΤΕΧΝΟΛΟΓΙΑΣ</w:t>
      </w:r>
    </w:p>
    <w:p>
      <w:pPr>
        <w:spacing w:after="40" w:line="300"/>
        <w:ind w:left="720"/>
      </w:pPr>
      <w:r>
        <w:rPr>
          <w:rFonts w:ascii="Times New Roman" w:cs="Times New Roman" w:eastAsia="Times New Roman" w:hAnsi="Times New Roman"/>
          <w:b w:val="false"/>
          <w:bCs w:val="false"/>
          <w:i w:val="false"/>
          <w:iCs w:val="false"/>
          <w:sz w:val="22"/>
          <w:szCs w:val="22"/>
        </w:rPr>
        <w:t xml:space="preserve">7.1 Προσομοιωτές εκπαίδευσης</w:t>
      </w:r>
    </w:p>
    <w:p>
      <w:pPr>
        <w:spacing w:after="40" w:line="300"/>
        <w:ind w:left="720"/>
      </w:pPr>
      <w:r>
        <w:rPr>
          <w:rFonts w:ascii="Times New Roman" w:cs="Times New Roman" w:eastAsia="Times New Roman" w:hAnsi="Times New Roman"/>
          <w:b w:val="false"/>
          <w:bCs w:val="false"/>
          <w:i w:val="false"/>
          <w:iCs w:val="false"/>
          <w:sz w:val="22"/>
          <w:szCs w:val="22"/>
        </w:rPr>
        <w:t xml:space="preserve">7.2 Εικονική και επαυξημένη πραγματικότητα</w:t>
      </w:r>
    </w:p>
    <w:p>
      <w:pPr>
        <w:spacing w:after="40" w:line="300"/>
        <w:ind w:left="720"/>
      </w:pPr>
      <w:r>
        <w:rPr>
          <w:rFonts w:ascii="Times New Roman" w:cs="Times New Roman" w:eastAsia="Times New Roman" w:hAnsi="Times New Roman"/>
          <w:b w:val="false"/>
          <w:bCs w:val="false"/>
          <w:i w:val="false"/>
          <w:iCs w:val="false"/>
          <w:sz w:val="22"/>
          <w:szCs w:val="22"/>
        </w:rPr>
        <w:t xml:space="preserve">7.3 Μη επανδρωμένα αεροσκάφη (drones)</w:t>
      </w:r>
    </w:p>
    <w:p>
      <w:pPr>
        <w:spacing w:after="40" w:line="300"/>
        <w:ind w:left="720"/>
      </w:pPr>
      <w:r>
        <w:rPr>
          <w:rFonts w:ascii="Times New Roman" w:cs="Times New Roman" w:eastAsia="Times New Roman" w:hAnsi="Times New Roman"/>
          <w:b w:val="false"/>
          <w:bCs w:val="false"/>
          <w:i w:val="false"/>
          <w:iCs w:val="false"/>
          <w:sz w:val="22"/>
          <w:szCs w:val="22"/>
        </w:rPr>
        <w:t xml:space="preserve">7.4 Γεωγραφικά Συστήματα Πληροφοριών (GIS)</w:t>
      </w:r>
    </w:p>
    <w:p>
      <w:pPr>
        <w:spacing w:after="40" w:line="300"/>
        <w:ind w:left="720"/>
      </w:pPr>
      <w:r>
        <w:rPr>
          <w:rFonts w:ascii="Times New Roman" w:cs="Times New Roman" w:eastAsia="Times New Roman" w:hAnsi="Times New Roman"/>
          <w:b w:val="false"/>
          <w:bCs w:val="false"/>
          <w:i w:val="false"/>
          <w:iCs w:val="false"/>
          <w:sz w:val="22"/>
          <w:szCs w:val="22"/>
        </w:rPr>
        <w:t xml:space="preserve">7.5 Ηλεκτρονική μάθηση</w:t>
      </w:r>
    </w:p>
    <w:p>
      <w:pPr>
        <w:spacing w:after="40" w:line="300"/>
        <w:ind w:left="720"/>
      </w:pPr>
      <w:r>
        <w:rPr>
          <w:rFonts w:ascii="Times New Roman" w:cs="Times New Roman" w:eastAsia="Times New Roman" w:hAnsi="Times New Roman"/>
          <w:b w:val="false"/>
          <w:bCs w:val="false"/>
          <w:i w:val="false"/>
          <w:iCs w:val="false"/>
          <w:sz w:val="22"/>
          <w:szCs w:val="22"/>
        </w:rPr>
        <w:t xml:space="preserve">7.6 Αποτίμηση τεχνολογικών εφαρμογών</w:t>
      </w:r>
    </w:p>
    <w:p>
      <w:pPr>
        <w:spacing w:after="80" w:line="300"/>
      </w:pPr>
      <w:r>
        <w:rPr>
          <w:rFonts w:ascii="Times New Roman" w:cs="Times New Roman" w:eastAsia="Times New Roman" w:hAnsi="Times New Roman"/>
          <w:b/>
          <w:bCs/>
          <w:i w:val="false"/>
          <w:iCs w:val="false"/>
          <w:sz w:val="24"/>
          <w:szCs w:val="24"/>
        </w:rPr>
        <w:t xml:space="preserve">ΚΕΦΑΛΑΙΟ 8: ΣΥΜΠΕΡΑΣΜΑΤΑ ΚΑΙ ΠΡΟΤΑΣΕΙΣ</w:t>
      </w:r>
    </w:p>
    <w:p>
      <w:pPr>
        <w:spacing w:after="40" w:line="300"/>
        <w:ind w:left="720"/>
      </w:pPr>
      <w:r>
        <w:rPr>
          <w:rFonts w:ascii="Times New Roman" w:cs="Times New Roman" w:eastAsia="Times New Roman" w:hAnsi="Times New Roman"/>
          <w:b w:val="false"/>
          <w:bCs w:val="false"/>
          <w:i w:val="false"/>
          <w:iCs w:val="false"/>
          <w:sz w:val="22"/>
          <w:szCs w:val="22"/>
        </w:rPr>
        <w:t xml:space="preserve">8.1 Σύνοψη ευρημάτων</w:t>
      </w:r>
    </w:p>
    <w:p>
      <w:pPr>
        <w:spacing w:after="40" w:line="300"/>
        <w:ind w:left="720"/>
      </w:pPr>
      <w:r>
        <w:rPr>
          <w:rFonts w:ascii="Times New Roman" w:cs="Times New Roman" w:eastAsia="Times New Roman" w:hAnsi="Times New Roman"/>
          <w:b w:val="false"/>
          <w:bCs w:val="false"/>
          <w:i w:val="false"/>
          <w:iCs w:val="false"/>
          <w:sz w:val="22"/>
          <w:szCs w:val="22"/>
        </w:rPr>
        <w:t xml:space="preserve">8.2 Προτάσεις βελτίωσης</w:t>
      </w:r>
    </w:p>
    <w:p>
      <w:pPr>
        <w:spacing w:after="40" w:line="300"/>
        <w:ind w:left="720"/>
      </w:pPr>
      <w:r>
        <w:rPr>
          <w:rFonts w:ascii="Times New Roman" w:cs="Times New Roman" w:eastAsia="Times New Roman" w:hAnsi="Times New Roman"/>
          <w:b w:val="false"/>
          <w:bCs w:val="false"/>
          <w:i w:val="false"/>
          <w:iCs w:val="false"/>
          <w:sz w:val="22"/>
          <w:szCs w:val="22"/>
        </w:rPr>
        <w:t xml:space="preserve">8.3 Περιορισμοί της εργασίας</w:t>
      </w:r>
    </w:p>
    <w:p>
      <w:pPr>
        <w:spacing w:after="40" w:line="300"/>
        <w:ind w:left="720"/>
      </w:pPr>
      <w:r>
        <w:rPr>
          <w:rFonts w:ascii="Times New Roman" w:cs="Times New Roman" w:eastAsia="Times New Roman" w:hAnsi="Times New Roman"/>
          <w:b w:val="false"/>
          <w:bCs w:val="false"/>
          <w:i w:val="false"/>
          <w:iCs w:val="false"/>
          <w:sz w:val="22"/>
          <w:szCs w:val="22"/>
        </w:rPr>
        <w:t xml:space="preserve">8.4 Προτάσεις για μελλοντική έρευνα</w:t>
      </w:r>
    </w:p>
    <w:p>
      <w:pPr>
        <w:spacing w:after="80" w:line="300"/>
      </w:pPr>
      <w:r>
        <w:rPr>
          <w:rFonts w:ascii="Times New Roman" w:cs="Times New Roman" w:eastAsia="Times New Roman" w:hAnsi="Times New Roman"/>
          <w:b/>
          <w:bCs/>
          <w:i w:val="false"/>
          <w:iCs w:val="false"/>
          <w:sz w:val="24"/>
          <w:szCs w:val="24"/>
        </w:rPr>
        <w:t xml:space="preserve">ΒΙΒΛΙΟΓΡΑΦΙΑ</w:t>
      </w:r>
    </w:p>
    <w:p>
      <w:pPr>
        <w:pageBreakBefore/>
        <w:spacing w:after="240" w:before="480" w:line="360"/>
        <w:jc w:val="center"/>
      </w:pPr>
      <w:r>
        <w:rPr>
          <w:rFonts w:ascii="Times New Roman" w:cs="Times New Roman" w:eastAsia="Times New Roman" w:hAnsi="Times New Roman"/>
          <w:b/>
          <w:bCs/>
          <w:i w:val="false"/>
          <w:iCs w:val="false"/>
          <w:sz w:val="28"/>
          <w:szCs w:val="28"/>
        </w:rPr>
        <w:t xml:space="preserve">ΚΕΦΑΛΑΙΟ 1: ΕΙΣΑΓΩΓΗ</w:t>
      </w:r>
    </w:p>
    <w:p>
      <w:pPr>
        <w:spacing w:after="200" w:before="360" w:line="360"/>
        <w:jc w:val="left"/>
      </w:pPr>
      <w:r>
        <w:rPr>
          <w:rFonts w:ascii="Times New Roman" w:cs="Times New Roman" w:eastAsia="Times New Roman" w:hAnsi="Times New Roman"/>
          <w:b/>
          <w:bCs/>
          <w:i w:val="false"/>
          <w:iCs w:val="false"/>
          <w:sz w:val="26"/>
          <w:szCs w:val="26"/>
        </w:rPr>
        <w:t xml:space="preserve">1.1 Αντικείμενο και σκοπός της εργασίας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Το Πυροσβεστικό Σώμα (ΠΣ) αποτελεί τον κεντρικό θεσμό πολιτικής προστασίας στην Ελλάδα, με αρμοδιότητες που εκτείνονται από την κατάσβεση αστικών και δασικών πυρκαγιών ως τις επιχειρήσεις έρευνας και διάσωσης μετά από σεισμούς, πλημμύρες και τεχνολογικά ατυχήματα. Κατά την τελευταία δεκαετία, η ένταση και η πολυπλοκότητα των καταστροφών αυξήθηκε αισθητά: οι πυρκαγιές στο Μάτι Αττικής (Ιούλιος 2018) με 104 θύματα και οι μεγάλες δασικές πυρκαγιές στην Εύβοια και την Αττική (Αύγουστος 2021) που αποτέφρωσαν πάνω από 50.000 εκτάρια δασικής γης, κατέδειξαν ότι η επιχειρησιακή ετοιμότητα δεν αποτελεί αφηρημένη έννοια, αλλά ζήτημα ζωής και θανάτου (Lagouvardos et al., 2019).</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εκπαίδευση μέσω ασκήσεων — δηλαδή η συστηματική, σχεδιασμένη και αξιολογούμενη πρακτική εξάσκηση σε σενάρια που προσομοιώνουν πραγματικά περιστατικά — αναγνωρίζεται διεθνώς ως ο αποτελεσματικότερος τρόπος γεφύρωσης του χάσματος μεταξύ θεωρητικής γνώσης και πεδινής εφαρμογής (Salas et al., 2012). Η παρούσα εργασία εξετάζει τον ρόλο αυτής ακριβώς της εκπαιδευτικής διαδικασίας στη βελτίωση της επιχειρησιακής ετοιμότητας των πυροσβεστών, αντλώντας τεκμήρια τόσο από τη διεθνή βιβλιογραφία όσο και από την ελληνική εμπειρία.</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Σκοπός της εργασίας είναι: (α) να αποσαφηνίσει την έννοια της επιχειρησιακής ετοιμότητας και τις διαστάσεις της στο πλαίσιο του πυροσβεστικού επαγγέλματος, (β) να αναλύσει τον τρόπο με τον οποίο οι ασκήσεις — σε όλες τις μορφές τους — συμβάλλουν στη σωματική, τεχνική, ψυχολογική και οργανωσιακή ετοιμότητα, (γ) να αξιολογήσει τη διεθνή και ελληνική εμπειρία μέσα από συγκεκριμένα παραδείγματα ασκήσεων και κρίσεων, και (δ) να διατυπώσει τεκμηριωμένες προτάσεις βελτίωσης.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επιλογή του θέματος δεν είναι τυχαία. Η Ελλάδα, ως μεσογειακή χώρα με εκτεταμένη δασική κάλυψη, μεγάλο μήκος ακτογραμμής, σεισμογενή γεωλογική δομή και ταχεία αστικοποίηση, αντιμετωπίζει ένα ασυνήθιστα ευρύ φάσμα κινδύνων. Κατά τα τελευταία πέντε χρόνια, το Πυροσβεστικό Σώμα κλήθηκε να διαχειριστεί κρίσεις που θα ήταν δύσκολα αναμενόμενες σε μια μόνο χώρα: την πιο θανατηφόρα δασική πυρκαγιά στην ιστορία της Ευρώπης (Μάτι, 2018), τη μεγαλύτερη πυρκαγιά σε έκταση στην ιστορία της ΕΕ (Αλεξανδρούπολη, 2023), ισχυρούς σεισμούς (Ελασσόνα, 2021), καταστροφικές πλημμύρες (Θεσσαλία, 2023) και διεθνείς αποστολές διάσωσης (σεισμός Τουρκίας, 2023). Σε αυτό το πλαίσιο, η ερώτηση «πώς εκπαιδεύονται οι πυροσβέστες και πώς μπορεί να βελτιωθεί η εκπαίδευσή τους» αποκτά εξαιρετική πρακτική σημασία.</w:t>
      </w:r>
    </w:p>
    <w:p>
      <w:pPr>
        <w:spacing w:after="200" w:before="360" w:line="360"/>
        <w:jc w:val="left"/>
      </w:pPr>
      <w:r>
        <w:rPr>
          <w:rFonts w:ascii="Times New Roman" w:cs="Times New Roman" w:eastAsia="Times New Roman" w:hAnsi="Times New Roman"/>
          <w:b/>
          <w:bCs/>
          <w:i w:val="false"/>
          <w:iCs w:val="false"/>
          <w:sz w:val="26"/>
          <w:szCs w:val="26"/>
        </w:rPr>
        <w:t xml:space="preserve">1.2 Μεθοδολογική προσέγγιση</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μεθοδολογία της εργασίας στηρίζεται στη βιβλιογραφική ανασκόπηση και στην ανάλυση δευτερογενών πηγών. Συγκεκριμένα, αξιοποιήθηκαν: (α) ακαδημαϊκά άρθρα από διεθνείς βάσεις δεδομένων (Scopus, Google Scholar, PubMed), (β) βιβλία αναφοράς του κλάδου, (γ) εκθέσεις και δεδομένα ευρωπαϊκών και ελληνικών φορέων (European Commission, EFFIS, Γενική Γραμματεία Πολιτικής Προστασίας), και (δ) θεσμικά κείμενα του Πυροσβεστικού Σώματος.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ανάλυση ακολουθεί αφαιρετική λογική: ξεκινά από τις γενικές θεωρίες μάθησης και ετοιμότητας, εστιάζει σταδιακά στο πυροσβεστικό επάγγελμα, και καταλήγει σε συγκεκριμένα παραδείγματα και προτάσεις. Τα θεωρητικά ευρήματα αντιπαρατίθενται με πραγματικά περιστατικά (case studies), ώστε να τεκμηριώνεται η πρακτική αξία των ασκήσεων.</w:t>
      </w:r>
    </w:p>
    <w:p>
      <w:pPr>
        <w:spacing w:after="200" w:before="360" w:line="360"/>
        <w:jc w:val="left"/>
      </w:pPr>
      <w:r>
        <w:rPr>
          <w:rFonts w:ascii="Times New Roman" w:cs="Times New Roman" w:eastAsia="Times New Roman" w:hAnsi="Times New Roman"/>
          <w:b/>
          <w:bCs/>
          <w:i w:val="false"/>
          <w:iCs w:val="false"/>
          <w:sz w:val="26"/>
          <w:szCs w:val="26"/>
        </w:rPr>
        <w:t xml:space="preserve">1.3 Δομή της εργασίας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εργασία αρθρώνεται σε οκτώ κεφάλαια. Στο Κεφάλαιο 2 εξετάζεται το θεωρητικό πλαίσιο, με ανάλυση της έννοιας της επιχειρησιακής ετοιμότητας, των θεωριών βιωματικής μάθησης (Kolb, 1984) και στοχευμένης εξάσκησης (Ericsson, 2006), καθώς και των μη τεχνικών δεξιοτήτων (Flin et al., 2008). Το Κεφάλαιο 3 παρουσιάζει το πυροσβεστικό επάγγελμα, τις απαιτήσεις του και τις σύγχρονες προκλήσεις, ενώ το Κεφάλαιο 4 αναλύει το εκπαιδευτικό σύστημα του ΠΣ και τις μορφές ασκήσεων.</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Στο Κεφάλαιο 5 εξετάζεται η επίδραση της εκπαίδευσης μέσω ασκήσεων στην ετοιμότητα, με αναφορά σε ερευνητικά δεδομένα. Το Κεφάλαιο 6 παρουσιάζει τη διεθνή συνεργασία και τρία πραγματικά case studies. Το Κεφάλαιο 7 εξετάζει τον ρόλο της τεχνολογίας (προσομοιωτές, VR, drones, GIS). Τέλος, στο Κεφάλαιο 8 συνοψίζονται τα ευρήματα, διατυπώνονται προτάσεις βελτίωσης και σημειώνονται οι περιορισμοί της εργασίας.</w:t>
      </w:r>
    </w:p>
    <w:p>
      <w:pPr>
        <w:pageBreakBefore/>
        <w:spacing w:after="240" w:before="480" w:line="360"/>
        <w:jc w:val="center"/>
      </w:pPr>
      <w:r>
        <w:rPr>
          <w:rFonts w:ascii="Times New Roman" w:cs="Times New Roman" w:eastAsia="Times New Roman" w:hAnsi="Times New Roman"/>
          <w:b/>
          <w:bCs/>
          <w:i w:val="false"/>
          <w:iCs w:val="false"/>
          <w:sz w:val="28"/>
          <w:szCs w:val="28"/>
        </w:rPr>
        <w:t xml:space="preserve">ΚΕΦΑΛΑΙΟ 2: ΘΕΩΡΗΤΙΚΟ ΠΛΑΙΣΙΟ — ΕΠΙΧΕΙΡΗΣΙΑΚΗ ΕΤΟΙΜΟΤΗΤΑ ΚΑΙ ΕΚΠΑΙΔΕΥΣΗ</w:t>
      </w:r>
    </w:p>
    <w:p>
      <w:pPr>
        <w:spacing w:after="200" w:before="360" w:line="360"/>
        <w:jc w:val="left"/>
      </w:pPr>
      <w:r>
        <w:rPr>
          <w:rFonts w:ascii="Times New Roman" w:cs="Times New Roman" w:eastAsia="Times New Roman" w:hAnsi="Times New Roman"/>
          <w:b/>
          <w:bCs/>
          <w:i w:val="false"/>
          <w:iCs w:val="false"/>
          <w:sz w:val="26"/>
          <w:szCs w:val="26"/>
        </w:rPr>
        <w:t xml:space="preserve">2.1 Η έννοια της επιχειρησιακής ετοιμότητας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επιχειρησιακή ετοιμότητα (operational readiness) ορίζεται ως ο βαθμός στον οποίο ένα άτομο, μια ομάδα ή ένας οργανισμός διαθέτει τις αναγκαίες ικανότητες, πόρους και δομές ώστε να ανταποκριθεί άμεσα και αποτελεσματικά σε μια κατάσταση έκτακτης ανάγκης. Στα σώματα πολιτικής προστασίας, η ετοιμότητα δεν αποτελεί στατική κατάσταση αλλά δυναμική διεργασία, η οποία απαιτεί συνεχή συντήρηση μέσω εκπαίδευσης, αξιολόγησης και οργανωσιακής μάθησης (Salas et al., 2008).</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βιβλιογραφία διακρίνει τέσσερις αλληλένδετες διαστάσεις της επιχειρησιακής ετοιμότητας. Η σωματική ετοιμότητα αφορά τη φυσική αντοχή, τη μυϊκή δύναμη και τη λειτουργική ικανότητα που απαιτείται για τη μεταφορά εξοπλισμού, την αναρρίχηση, τη διάσωση τραυματιών και την εργασία υπό ακραίες θερμοκρασίες — στοιχεία κρίσιμα στο πυροσβεστικό επάγγελμα, όπου η καρδιαγγειακή καταπόνηση αποτελεί την κύρια αιτία θανάτου εν ώρα υπηρεσίας (Soteriades et al., 2011). Η τεχνική ετοιμότητα αναφέρεται στη γνώση και δεξιότητα χρήσης του εξοπλισμού, στην εφαρμογή τακτικών πυρόσβεσης και διάσωσης, καθώς και στην ικανότητα προσαρμογής σε διαφορετικούς τύπους περιστατικών.</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ψυχολογική ετοιμότητα περιλαμβάνει τη διαχείριση στρες, τη διατήρηση συγκέντρωσης υπό πίεση, τον έλεγχο συναισθηματικών αντιδράσεων και τη λήψη αποφάσεων σε καταστάσεις αβεβαιότητας. Η επαναλαμβανόμενη έκθεση πυροσβεστών σε τραυματικά γεγονότα αποτελεί παράγοντα κινδύνου για διαταραχή μετατραυματικού στρες (PTSD), κατάθλιψη και επαγγελματική εξουθένωση (Kleim &amp; Westphal, 2011· Jahnke et al., 2016). Τέλος, η οργανωσιακή ετοιμότητα αφορά τον συντονισμό, την κατανομή ρόλων, τις επικοινωνιακές δομές και τη διαθεσιμότητα πόρων — στοιχεία που καθορίζουν κατά πόσο η ατομική ικανότητα μεταφράζεται σε αποτελεσματική συλλογική δράση.</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Αξίζει να σημειωθεί ότι οι τέσσερις αυτές διαστάσεις δεν λειτουργούν ανεξάρτητα: αλληλεπιδρούν και αλληλοενισχύονται. Ένας πυροσβέστης με εξαιρετική τεχνική κατάρτιση αλλά ελλιπή ψυχολογική ετοιμότητα ενδέχεται να αδυνατήσει να εφαρμόσει τις γνώσεις του υπό πίεση. Αντίστροφα, υψηλή ψυχολογική ανθεκτικότητα χωρίς τεχνική γνώση οδηγεί σε αυτοπεποίθηση χωρίς ουσιαστική ικανότητα. Η οργανωσιακή ετοιμότητα λειτουργεί ως πολλαπλασιαστής: ακόμη και εξαιρετικά εκπαιδευμένα άτομα δεν μπορούν να αποδώσουν αν ο συντονισμός και η κατανομή πόρων είναι ανεπαρκή. Αυτή η αλληλεπίδραση τεκμηριώνει γιατί η εκπαίδευση μέσω ασκήσεων — που κινητοποιεί ταυτόχρονα όλες τις διαστάσεις — θεωρείται ανώτερη από τη μονοδιάστατη εκπαίδευση (π.χ. μόνο σωματική ή μόνο θεωρητική).</w:t>
      </w:r>
    </w:p>
    <w:p>
      <w:pPr>
        <w:spacing w:after="120" w:before="240" w:line="360"/>
        <w:jc w:val="left"/>
      </w:pPr>
      <w:r>
        <w:rPr>
          <w:rFonts w:ascii="Times New Roman" w:cs="Times New Roman" w:eastAsia="Times New Roman" w:hAnsi="Times New Roman"/>
          <w:b/>
          <w:bCs/>
          <w:i w:val="false"/>
          <w:iCs w:val="false"/>
          <w:sz w:val="24"/>
          <w:szCs w:val="24"/>
        </w:rPr>
        <w:t xml:space="preserve">2.1.1 Παράγοντες που επηρεάζουν την ετοιμότητα</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επιχειρησιακή ετοιμότητα διαμορφώνεται από συνδυασμό παραγόντων. Ο κυριότερος είναι η ποιότητα και η συχνότητα της εκπαίδευσης: η συστηματική εξάσκηση επιτρέπει τη διατήρηση δεξιοτήτων που, διαφορετικά, φθίνουν με τον χρόνο (Salas et al., 2012). Η εμπειρία — τόσο από πραγματικά περιστατικά όσο και από ρεαλιστικές ασκήσεις — ενισχύει τη γνωστική ευελιξία και τη λήψη αποφάσεων υπό αβεβαιότητα. Η ηγεσία καθορίζει τον βαθμό στον οποίο η εκπαίδευση τίθεται ως οργανωσιακή προτεραιότητα. Τέλος, η ομαδική συνοχή — η αλληλογνωριμία, η εμπιστοσύνη και η κοινή επιχειρησιακή νοοτροπία — αποτελεί τον παράγοντα που μετατρέπει τις ατομικές ικανότητες σε συντονισμένη ομαδική απόδοση (Flin et al., 2008).</w:t>
      </w:r>
    </w:p>
    <w:p>
      <w:pPr>
        <w:spacing w:after="200" w:before="360" w:line="360"/>
        <w:jc w:val="left"/>
      </w:pPr>
      <w:r>
        <w:rPr>
          <w:rFonts w:ascii="Times New Roman" w:cs="Times New Roman" w:eastAsia="Times New Roman" w:hAnsi="Times New Roman"/>
          <w:b/>
          <w:bCs/>
          <w:i w:val="false"/>
          <w:iCs w:val="false"/>
          <w:sz w:val="26"/>
          <w:szCs w:val="26"/>
        </w:rPr>
        <w:t xml:space="preserve">2.2 Θεωρίες μάθησης και εκπαίδευσης ενηλίκων</w:t>
      </w:r>
    </w:p>
    <w:p>
      <w:pPr>
        <w:spacing w:after="120" w:before="240" w:line="360"/>
        <w:jc w:val="left"/>
      </w:pPr>
      <w:r>
        <w:rPr>
          <w:rFonts w:ascii="Times New Roman" w:cs="Times New Roman" w:eastAsia="Times New Roman" w:hAnsi="Times New Roman"/>
          <w:b/>
          <w:bCs/>
          <w:i w:val="false"/>
          <w:iCs w:val="false"/>
          <w:sz w:val="24"/>
          <w:szCs w:val="24"/>
        </w:rPr>
        <w:t xml:space="preserve">2.2.1 Βιωματική μάθηση (Kolb)</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θεωρία της βιωματικής μάθησης (experiential learning) του David Kolb (1984) αποτελεί θεμελιώδες θεωρητικό εργαλείο για την κατανόηση της εκπαίδευσης μέσω ασκήσεων. Σύμφωνα με τον Kolb, η μάθηση δεν πραγματοποιείται μόνο μέσω της μετάδοσης πληροφοριών, αλλά μέσα από έναν κυκλικό μηχανισμό τεσσάρων σταδίων: τη συγκεκριμένη εμπειρία (concrete experience), τη στοχαστική παρατήρηση (reflective observation), την αφηρημένη εννοιολόγηση (abstract conceptualization) και τον ενεργό πειραματισμό (active experimentation).</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Στο πλαίσιο της πυροσβεστικής εκπαίδευσης, ο κύκλος αυτός αποκτά ιδιαίτερη πρακτική αξία. Η συγκεκριμένη εμπειρία αντιστοιχεί στη συμμετοχή του πυροσβέστη σε μια άσκηση πεδίου — π.χ. σε ένα σενάριο πυρκαγιάς σε κτίριο. Η στοχαστική παρατήρηση πραγματοποιείται κατά τη φάση της ανατροφοδότησης (debriefing), όπου η ομάδα αναλύει τι λειτούργησε και τι χρειάζεται βελτίωση. Η αφηρημένη εννοιολόγηση αφορά τη σύνδεση της εμπειρίας με τις γενικές αρχές τακτικής και ασφάλειας. Τέλος, ο ενεργός πειραματισμός αντιστοιχεί στην εφαρμογή των νέων γνώσεων στην επόμενη άσκηση ή στο πραγματικό περιστατικό (Kolb et al., 2001). Η κυκλική αυτή διαδικασία τεκμηριώνει γιατί οι μεμονωμένες ασκήσεις δεν αρκούν: απαιτείται συστηματική επανάληψη με ανατροφοδότηση.</w:t>
      </w:r>
    </w:p>
    <w:p>
      <w:pPr>
        <w:spacing w:after="120" w:before="240" w:line="360"/>
        <w:jc w:val="left"/>
      </w:pPr>
      <w:r>
        <w:rPr>
          <w:rFonts w:ascii="Times New Roman" w:cs="Times New Roman" w:eastAsia="Times New Roman" w:hAnsi="Times New Roman"/>
          <w:b/>
          <w:bCs/>
          <w:i w:val="false"/>
          <w:iCs w:val="false"/>
          <w:sz w:val="24"/>
          <w:szCs w:val="24"/>
        </w:rPr>
        <w:t xml:space="preserve">2.2.2 Στοχευμένη εξάσκηση (Ericsson)</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Ο K. Anders Ericsson (1993· 2006) τεκμηρίωσε ότι η ανάπτυξη εξειδικευμένης δεξιοτεχνίας (expert performance) δεν προκύπτει αυτομάτως από τη συσσώρευση ωρών εμπειρίας, αλλά μόνο όταν η εξάσκηση πληροί συγκεκριμένες προϋποθέσεις: σαφώς ορισμένους στόχους, ανατροφοδότηση, υψηλή συγκέντρωση, και σταδιακή αύξηση της δυσκολίας. Αυτό που ο Ericsson ονόμασε «στοχευμένη εξάσκηση» (deliberate practice) προϋποθέτει ότι ο εκπαιδευόμενος εργάζεται στο όριο της τρέχουσας ικανότητάς του — ούτε σε πολύ εύκολα σενάρια που δεν τον προκαλούν, ούτε σε υπερβολικά δύσκολα που τον αποθαρρύνουν.</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εφαρμογή αυτής της αρχής στην πυροσβεστική εκπαίδευση σημαίνει ότι οι ασκήσεις δεν αρκεί να είναι απλές επαναλήψεις γνωστών διαδικασιών. Χρειάζεται να εισάγουν σταδιακά πιο σύνθετα σενάρια, απρόβλεπτα στοιχεία (π.χ. αιφνίδια αλλαγή κατεύθυνσης ανέμου, ταυτόχρονα περιστατικά) και πιεστικές χρονικές συνθήκες. Μόνο υπό αυτές τις προϋποθέσεις η εξάσκηση οδηγεί πραγματικά σε βελτίωση (Ericsson et al., 1993).</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Μια σημαντική διάκριση που εισάγει ο Ericsson αφορά τη διαφορά μεταξύ εμπειρίας και στοχευμένης εξάσκησης. Ένας πυροσβέστης με 20 χρόνια υπηρεσίας δεν είναι κατ' ανάγκην καλύτερος από έναν με 10, εάν τα τελευταία 10 χρόνια δεν εξασκήθηκε σε νέα σενάρια αλλά απλώς επανέλαβε τις ίδιες ρουτίνες. Η εμπειρία χωρίς δομημένη μάθηση μπορεί να οδηγήσει σε στασιμότητα ή ακόμη και σε παγίωση λανθασμένων πρακτικών. Αντιθέτως, η στοχευμένη εξάσκηση — που περιλαμβάνει αξιολόγηση, ανατροφοδότηση και συνειδητή προσπάθεια βελτίωσης — οδηγεί σε σταθερή ανάπτυξη δεξιοτήτων ανεξαρτήτως αρχικού επιπέδου. Η αρχή αυτή έχει βαθιές πρακτικές συνέπειες για τον σχεδιασμό εκπαιδευτικών προγραμμάτων: δεν αρκεί να υπάρχουν ασκήσεις — χρειάζεται να σχεδιάζονται με προοδευτικά αυξανόμενο βαθμό δυσκολίας και με ενσωματωμένους μηχανισμούς αξιολόγησης.</w:t>
      </w:r>
    </w:p>
    <w:p>
      <w:pPr>
        <w:spacing w:after="120" w:before="240" w:line="360"/>
        <w:jc w:val="left"/>
      </w:pPr>
      <w:r>
        <w:rPr>
          <w:rFonts w:ascii="Times New Roman" w:cs="Times New Roman" w:eastAsia="Times New Roman" w:hAnsi="Times New Roman"/>
          <w:b/>
          <w:bCs/>
          <w:i w:val="false"/>
          <w:iCs w:val="false"/>
          <w:sz w:val="24"/>
          <w:szCs w:val="24"/>
        </w:rPr>
        <w:t xml:space="preserve">2.2.3 Μη τεχνικές δεξιότητες — CRM</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έρευνα στα επαγγέλματα υψηλού κινδύνου (αεροπορία, ιατρική, ενέργεια, πυρόσβεση) κατέδειξε ότι η πλειονότητα των ατυχημάτων δεν οφείλεται σε τεχνική ανεπάρκεια, αλλά σε αστοχίες επικοινωνίας, συντονισμού, λήψης αποφάσεων και κατανόησης κατάστασης. Οι δεξιότητες αυτές, γνωστές ως μη τεχνικές δεξιότητες (non-technical skills ή NTS), αναλύθηκαν συστηματικά από τους Flin, O'Connor και Crichton (2008) στο κλασικό τους έργο Safety at the Sharp End. Οι συγγραφείς κατηγοριοποιούν τις NTS σε τέσσερις βασικές ομάδες: κατανόηση κατάστασης (situation awareness), λήψη αποφάσεων (decision-making), επικοινωνία και ομαδική εργασία (communication and teamwork), και ηγεσία (leadership).</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Στο πυροσβεστικό πεδίο, ένα τυπικό παράδειγμα αστοχίας NTS είναι η ελλιπής μετάδοση πληροφοριών μεταξύ πληρωμάτων — π.χ. μια ομάδα που εντοπίζει αλλαγή στη συμπεριφορά της φωτιάς αλλά δεν την κοινοποιεί στον επικεφαλής. Η εκπαίδευση μέσω ασκήσεων αποτελεί τον κατ' εξοχήν τρόπο εξάσκησης αυτών των δεξιοτήτων, καθώς οι NTS αναπτύσσονται μόνο μέσα από την πρακτική εφαρμογή σε ρεαλιστικά σενάρια — όχι μέσα από θεωρητική διδασκαλία (Flin et al., 2008).</w:t>
      </w:r>
    </w:p>
    <w:p>
      <w:pPr>
        <w:spacing w:after="200" w:before="360" w:line="360"/>
        <w:jc w:val="left"/>
      </w:pPr>
      <w:r>
        <w:rPr>
          <w:rFonts w:ascii="Times New Roman" w:cs="Times New Roman" w:eastAsia="Times New Roman" w:hAnsi="Times New Roman"/>
          <w:b/>
          <w:bCs/>
          <w:i w:val="false"/>
          <w:iCs w:val="false"/>
          <w:sz w:val="26"/>
          <w:szCs w:val="26"/>
        </w:rPr>
        <w:t xml:space="preserve">2.3 Η εκπαίδευση σε επαγγέλματα υψηλού κινδύνου</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Τα επαγγέλματα υψηλού κινδύνου — αεροπορία, χειρουργική, πυρηνική ενέργεια, πυρόσβεση, στρατός — χαρακτηρίζονται από τρεις κοινές ιδιότητες: τα σφάλματα μπορεί να είναι μη αναστρέψιμα (θάνατος, καταστροφή), οι αποφάσεις λαμβάνονται υπό χρονική πίεση και ελλιπή πληροφόρηση, και η αποτελεσματικότητα εξαρτάται κρίσιμα από τη συνεργασία ομάδων. Η αεροπορία αποτελεί πρότυπο: μετά τη συνειδητοποίηση ότι η πλειονότητα των αεροπορικών ατυχημάτων οφειλόταν σε ανθρώπινα λάθη (επικοινωνία, ηγεσία, κατανόηση κατάστασης), αναπτύχθηκε το σύστημα CRM (Crew Resource Management), που σήμερα αποτελεί υποχρεωτικό μέρος της εκπαίδευσης κάθε πιλότου. Αντίστοιχα μοντέλα εφαρμόζονται στη χειρουργική (surgical checklists, team briefings) και στη στρατιωτική εκπαίδευση (stress inoculation training). Η πυροσβεστική εκπαίδευση αντλεί διδάγματα από όλους αυτούς τους κλάδους.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εκπαίδευση σε επαγγέλματα όπως η αεροπορία, η χειρουργική, η πυρηνική ενέργεια και η πυρόσβεση παρουσιάζει κοινά χαρακτηριστικά: τα λάθη μπορεί να είναι μη αναστρέψιμα, οι αποφάσεις λαμβάνονται υπό χρονική πίεση, και η ομαδική συνεργασία αποτελεί προϋπόθεση αποτελεσματικότητας. Η μετα-ανάλυση των Salas et al. (2008) — που συνέθεσε δεδομένα από 93 μελέτες — κατέδειξε ότι η ομαδική εκπαίδευση (team training) βελτιώνει στατιστικά σημαντικά τόσο τις γνωστικές διεργασίες (κοινό νοητικό μοντέλο, κατανόηση κατάστασης) όσο και τη λειτουργική απόδοση (ταχύτητα αντίδρασης, ακρίβεια ενεργειών, μείωση σφαλμάτων).</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Ένα βασικό εύρημα είναι ότι η αποτελεσματικότητα της εκπαίδευσης δεν εξαρτάται μόνο από τον αριθμό ωρών, αλλά κυρίως από τον σχεδιασμό: η ύπαρξη σαφών στόχων, η ρεαλιστικότητα του σεναρίου, η δομημένη ανατροφοδότηση (debriefing) μετά την άσκηση, και η σταδιακή αύξηση της πολυπλοκότητας αποτελούν τα στοιχεία που διαφοροποιούν μια αποτελεσματική άσκηση από μια τυπική εκπλήρωση υποχρέωσης (Salas et al., 2012· Ericsson, 2006).</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Ο Πίνακας 1 παρουσιάζει μια σύγκριση εκπαιδευτικών μοντέλων σε διαφορετικά επαγγέλματα υψηλού κινδύνου.</w:t>
      </w:r>
    </w:p>
    <w:p>
      <w:pPr>
        <w:spacing w:after="120" w:before="240" w:line="360"/>
        <w:jc w:val="center"/>
      </w:pPr>
      <w:r>
        <w:rPr>
          <w:rFonts w:ascii="Times New Roman" w:cs="Times New Roman" w:eastAsia="Times New Roman" w:hAnsi="Times New Roman"/>
          <w:b/>
          <w:bCs/>
          <w:i/>
          <w:iCs/>
          <w:sz w:val="22"/>
          <w:szCs w:val="22"/>
        </w:rPr>
        <w:t xml:space="preserve">Πίνακας 1: Σύγκριση εκπαιδευτικών μοντέλων σε επαγγέλματα υψηλού κινδύνου</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shd w:color="D9E2F3" w:val="solid"/>
          </w:tcPr>
          <w:p>
            <w:pPr>
              <w:spacing w:after="60" w:before="60"/>
              <w:jc w:val="center"/>
            </w:pPr>
            <w:r>
              <w:rPr>
                <w:rFonts w:ascii="Times New Roman" w:cs="Times New Roman" w:eastAsia="Times New Roman" w:hAnsi="Times New Roman"/>
                <w:b/>
                <w:bCs/>
                <w:i w:val="false"/>
                <w:iCs w:val="false"/>
                <w:sz w:val="20"/>
                <w:szCs w:val="20"/>
              </w:rPr>
              <w:t xml:space="preserve">Κλάδος</w:t>
            </w:r>
          </w:p>
        </w:tc>
        <w:tc>
          <w:tcPr>
            <w:tcW w:type="pct" w:w="25%"/>
            <w:shd w:color="D9E2F3" w:val="solid"/>
          </w:tcPr>
          <w:p>
            <w:pPr>
              <w:spacing w:after="60" w:before="60"/>
              <w:jc w:val="center"/>
            </w:pPr>
            <w:r>
              <w:rPr>
                <w:rFonts w:ascii="Times New Roman" w:cs="Times New Roman" w:eastAsia="Times New Roman" w:hAnsi="Times New Roman"/>
                <w:b/>
                <w:bCs/>
                <w:i w:val="false"/>
                <w:iCs w:val="false"/>
                <w:sz w:val="20"/>
                <w:szCs w:val="20"/>
              </w:rPr>
              <w:t xml:space="preserve">Κύρια μέθοδος εκπαίδευσης</w:t>
            </w:r>
          </w:p>
        </w:tc>
        <w:tc>
          <w:tcPr>
            <w:tcW w:type="pct" w:w="25%"/>
            <w:shd w:color="D9E2F3" w:val="solid"/>
          </w:tcPr>
          <w:p>
            <w:pPr>
              <w:spacing w:after="60" w:before="60"/>
              <w:jc w:val="center"/>
            </w:pPr>
            <w:r>
              <w:rPr>
                <w:rFonts w:ascii="Times New Roman" w:cs="Times New Roman" w:eastAsia="Times New Roman" w:hAnsi="Times New Roman"/>
                <w:b/>
                <w:bCs/>
                <w:i w:val="false"/>
                <w:iCs w:val="false"/>
                <w:sz w:val="20"/>
                <w:szCs w:val="20"/>
              </w:rPr>
              <w:t xml:space="preserve">Ρόλος ασκήσεων/προσομοιώσεων</w:t>
            </w:r>
          </w:p>
        </w:tc>
        <w:tc>
          <w:tcPr>
            <w:tcW w:type="pct" w:w="25%"/>
            <w:shd w:color="D9E2F3" w:val="solid"/>
          </w:tcPr>
          <w:p>
            <w:pPr>
              <w:spacing w:after="60" w:before="60"/>
              <w:jc w:val="center"/>
            </w:pPr>
            <w:r>
              <w:rPr>
                <w:rFonts w:ascii="Times New Roman" w:cs="Times New Roman" w:eastAsia="Times New Roman" w:hAnsi="Times New Roman"/>
                <w:b/>
                <w:bCs/>
                <w:i w:val="false"/>
                <w:iCs w:val="false"/>
                <w:sz w:val="20"/>
                <w:szCs w:val="20"/>
              </w:rPr>
              <w:t xml:space="preserve">Βασική αναφορά</w:t>
            </w:r>
          </w:p>
        </w:tc>
      </w:tr>
      <w:tr>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Αεροπορία</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CRM (Crew Resource Management)</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Υποχρεωτικές περιοδικές προσομοιώσεις</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Flin et al., 2008</w:t>
            </w:r>
          </w:p>
        </w:tc>
      </w:tr>
      <w:tr>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Ιατρική/Χειρουργική</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Προσομοίωση σε μανεκέν, OSCE</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Εκτεταμένη χρήση VR/AR</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Salas et al., 2012</w:t>
            </w:r>
          </w:p>
        </w:tc>
      </w:tr>
      <w:tr>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Στρατός/Ειδικές Δυνάμεις</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Stress Inoculation Training</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Ρεαλιστικά σενάρια υψηλής πίεσης</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Grossman &amp; Christensen, 2008</w:t>
            </w:r>
          </w:p>
        </w:tc>
      </w:tr>
      <w:tr>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Πυρόσβεση</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Βασική + συνεχιζόμενη εκπαίδευση</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Ασκήσεις πεδίου, table-top, MODEX</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Salas et al., 2008</w:t>
            </w:r>
          </w:p>
        </w:tc>
      </w:tr>
      <w:tr>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Πυρηνική ενέργεια</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Τυποποιημένες διαδικασίες, SOP</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Τακτικές ασκήσεις έκτακτης ανάγκης</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Flin et al., 2008</w:t>
            </w:r>
          </w:p>
        </w:tc>
      </w:tr>
    </w:tbl>
    <w:p>
      <w:pPr>
        <w:spacing w:after="200"/>
      </w:pPr>
    </w:p>
    <w:p>
      <w:pPr>
        <w:pageBreakBefore/>
        <w:spacing w:after="240" w:before="480" w:line="360"/>
        <w:jc w:val="center"/>
      </w:pPr>
      <w:r>
        <w:rPr>
          <w:rFonts w:ascii="Times New Roman" w:cs="Times New Roman" w:eastAsia="Times New Roman" w:hAnsi="Times New Roman"/>
          <w:b/>
          <w:bCs/>
          <w:i w:val="false"/>
          <w:iCs w:val="false"/>
          <w:sz w:val="28"/>
          <w:szCs w:val="28"/>
        </w:rPr>
        <w:t xml:space="preserve">ΚΕΦΑΛΑΙΟ 3: ΤΟ ΠΥΡΟΣΒΕΣΤΙΚΟ ΣΩΜΑ — ΑΠΟΣΤΟΛΗ, ΔΟΜΗ ΚΑΙ ΕΠΙΧΕΙΡΗΣΙΑΚΕΣ ΑΠΑΙΤΗΣΕΙΣ</w:t>
      </w:r>
    </w:p>
    <w:p>
      <w:pPr>
        <w:spacing w:after="200" w:before="360" w:line="360"/>
        <w:jc w:val="left"/>
      </w:pPr>
      <w:r>
        <w:rPr>
          <w:rFonts w:ascii="Times New Roman" w:cs="Times New Roman" w:eastAsia="Times New Roman" w:hAnsi="Times New Roman"/>
          <w:b/>
          <w:bCs/>
          <w:i w:val="false"/>
          <w:iCs w:val="false"/>
          <w:sz w:val="26"/>
          <w:szCs w:val="26"/>
        </w:rPr>
        <w:t xml:space="preserve">3.1 Η αποστολή και ο ρόλος του Πυροσβεστικού Σώματος στην Ελλάδα</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Το Πυροσβεστικό Σώμα (ΠΣ) αποτελεί σώμα ασφαλείας που υπάγεται στο Υπουργείο Κλιματικής Κρίσης και Πολιτικής Προστασίας. Η αποστολή του καθορίζεται από τον νόμο και περιλαμβάνει την πρόληψη και καταστολή πυρκαγιών, τη διάσωση ατόμων και περιουσιών, την αντιμετώπιση φυσικών και τεχνολογικών καταστροφών, καθώς και τη συμμετοχή στον σχεδιασμό πολιτικής προστασίας σε εθνικό και τοπικό επίπεδο. Το εύρος αρμοδιοτήτων του ΠΣ είναι αξιοσημείωτο: περιλαμβάνει αστικές και δασικές πυρκαγιές, τροχαία ατυχήματα, πλημμύρες, σεισμούς, βιομηχανικά ατυχήματα, διασώσεις σε ύψος, διασώσεις σε ερείπια, καθώς και αντιμετώπιση περιστατικών με επικίνδυνες ουσίες (HAZMAT).</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Ιδιαίτερο ρόλο διαδραματίζει η Ειδική Μονάδα Αντιμετώπισης Καταστροφών (ΕΜΑΚ), η οποία αποτελεί εξειδικευμένη μονάδα έρευνας και διάσωσης σε αστικό περιβάλλον (Urban Search and Rescue — USAR). Η ΕΜΑΚ λειτουργεί σύμφωνα με τα πρότυπα INSARAG (International Search and Rescue Advisory Group) των Ηνωμένων Εθνών και έχει συμμετάσχει σε διεθνείς αποστολές, όπως ο σεισμός στην Τουρκία (Φεβρουάριος 2023). Η μονάδα αυτή εκπαιδεύεται σε εξαιρετικά απαιτητικά σενάρια: διάσωση σε ερείπια, ορεινές διασώσεις, επιχειρήσεις σε πλημμυρισμένες περιοχές και αντιμετώπιση χημικών-βιολογικών-ραδιολογικών-πυρηνικών (ΧΒΡΠ) κινδύνων (INSARAG, 2020).</w:t>
      </w:r>
    </w:p>
    <w:p>
      <w:pPr>
        <w:spacing w:after="200" w:before="360" w:line="360"/>
        <w:jc w:val="left"/>
      </w:pPr>
      <w:r>
        <w:rPr>
          <w:rFonts w:ascii="Times New Roman" w:cs="Times New Roman" w:eastAsia="Times New Roman" w:hAnsi="Times New Roman"/>
          <w:b/>
          <w:bCs/>
          <w:i w:val="false"/>
          <w:iCs w:val="false"/>
          <w:sz w:val="26"/>
          <w:szCs w:val="26"/>
        </w:rPr>
        <w:t xml:space="preserve">3.2 Σωματικές, τεχνικές και ψυχολογικές απαιτήσεις του επαγγέλματος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Το πυροσβεστικό επάγγελμα ανήκει στα πλέον σωματικά απαιτητικά. Κατά τη διάρκεια μιας επιχείρησης, ο πυροσβέστης φέρει εξοπλισμό βάρους 20-30 κιλών (αναπνευστική συσκευή, προστατευτική στολή, εργαλεία), εργάζεται σε θερμοκρασίες που μπορεί να υπερβαίνουν τους 300°C σε κλειστό χώρο, και καλείται να αναρριχηθεί σε κλίμακες, να μεταφέρει τραυματίες ή να σκάψει αντιπυρικές ζώνες για ώρες. Οι Soteriades et al. (2011) διαπίστωσαν ότι τα καρδιαγγειακά επεισόδια αποτελούν την πρώτη αιτία θανάτου εν ώρα υπηρεσίας στους πυροσβέστες — κυρίως κατά τη φάση της κατάσβεσης — γεγονός που αναδεικνύει τη σημασία της φυσικής κατάστασης ως θεμελίου επιχειρησιακής ετοιμότητας.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τεχνική επάρκεια αφορά ευρύ φάσμα γνώσεων: χρήση αντλιών, σωλήνων, κλιμάκων, αναπνευστικών μέσων, υδραυλικών εργαλείων διάσωσης (κόφτες, ανοιχτήρες), εργαλείων κοπής σκυροδέματος, συσκευών ανίχνευσης θυμάτων. Κάθε τύπος περιστατικού απαιτεί διαφορετικές τακτικές: η αντιμετώπιση πυρκαγιάς σε υπόγειο χώρο στάθμευσης διαφέρει ουσιαστικά από τη δασοπυρόσβεση ή τον απεγκλωβισμό σε τροχαίο ατύχημα.</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ψυχολογική διάσταση είναι εξίσου κρίσιμη. Οι πυροσβέστες εκτίθενται τακτικά σε εικόνες τραυματισμών, απωλειών και καταστροφής. Οι Jahnke et al. (2016) διαπίστωσαν ότι η επαναλαμβανόμενη έκθεση σε τραυματικά γεγονότα — ιδιαίτερα σε περιστατικά που αφορούν παιδιά ή συναδέλφους — αυξάνει σημαντικά τον κίνδυνο PTSD. Ταυτόχρονα, η ανάγκη λήψης αποφάσεων υπό χρονική πίεση, με ελλιπείς πληροφορίες και υψηλό ρίσκο, δημιουργεί ψυχολογική καταπόνηση που μόνο μέσω προηγούμενης εξοικείωσης — δηλαδή μέσω ρεαλιστικών ασκήσεων — μπορεί να περιοριστεί (Grossman &amp; Christensen, 2008).</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Ένα στοιχείο που συχνά υποτιμάται είναι η λεγόμενη «σωρευτική τραυματική καταπόνηση» (cumulative trauma exposure). Σε αντίθεση με ένα μεμονωμένο τραυματικό γεγονός, η καθημερινή έκθεση σε ανθρώπινο πόνο, καταστροφή και κίνδυνο δημιουργεί μια σταδιακή ψυχολογική φθορά που μπορεί να εκδηλωθεί μετά από χρόνια υπηρεσίας. Η μελέτη των Kleim και Westphal (2011) τόνισε ότι οι προστατευτικοί παράγοντες κατά αυτής της φθοράς περιλαμβάνουν τη συνοχή της ομάδας, την αίσθηση αυτοαποτελεσματικότητας και την ύπαρξη οργανωσιακής υποστήριξης — στοιχεία που ενισχύονται μέσω κοινών ασκήσεων. Η αίσθηση «ξέρω τι κάνω, η ομάδα μου με στηρίζει, έχω εκπαιδευτεί σωστά» λειτουργεί ως ψυχολογικό ανάχωμα σε κρίσεις. Αντίστροφα, η αίσθηση ανεπάρκειας και ανασφάλειας — που προκύπτει από ελλιπή εκπαίδευση — πολλαπλασιάζει τον ψυχολογικό αντίκτυπο ενός τραυματικού γεγονότος.</w:t>
      </w:r>
    </w:p>
    <w:p>
      <w:pPr>
        <w:spacing w:after="200" w:before="360" w:line="360"/>
        <w:jc w:val="left"/>
      </w:pPr>
      <w:r>
        <w:rPr>
          <w:rFonts w:ascii="Times New Roman" w:cs="Times New Roman" w:eastAsia="Times New Roman" w:hAnsi="Times New Roman"/>
          <w:b/>
          <w:bCs/>
          <w:i w:val="false"/>
          <w:iCs w:val="false"/>
          <w:sz w:val="26"/>
          <w:szCs w:val="26"/>
        </w:rPr>
        <w:t xml:space="preserve">3.3 Εξέλιξη των κινδύνων: κλιματική αλλαγή και νέες προκλήσεις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κλιματική αλλαγή έχει μεταβάλει ριζικά το περιβάλλον στο οποίο δρα το ΠΣ. Σύμφωνα με το Ευρωπαϊκό Σύστημα Πληροφοριών για τις Δασικές Πυρκαγιές (EFFIS), η Ελλάδα βρίσκεται σταθερά μεταξύ των χωρών με τη μεγαλύτερη καμένη δασική έκταση στην ΕΕ. Η αντιπυρική περίοδος παρατείνεται, ενώ τα ακραία καιρικά φαινόμενα — παρατεταμένοι καύσωνες, ισχυροί άνεμοι, ξηρασίες — δημιουργούν συνθήκες για πυρκαγιές πρωτοφανούς έντασης. Η πυρκαγιά στο Μάτι (2018), με ανέμους που ξεπερνούσαν τα 100 χλμ./ώρα, εξελίχθηκε σε θανατηφόρα παγίδα εντός λίγων δεκαλέπτων — αναδεικνύοντας ότι η κλασική τακτική δασοπυρόσβεσης δεν αρκεί για ακραία γεγονότα (Lagouvardos et al., 2019).</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Πέραν των πυρκαγιών, το ΠΣ αντιμετωπίζει αυξημένες απαιτήσεις σε πλημμύρες (Θεσσαλία, Σεπτέμβριος 2023), σεισμούς και περιστατικά HAZMAT. Η πολυπλοκότητα αυτή δεν αυξάνει μόνο τον φόρτο εργασίας — αλλάζει ποιοτικά τη φύση της εκπαίδευσης που απαιτείται. Ο πυροσβέστης του 21ου αιώνα δεν είναι απλώς ένας κατασβέστης φωτιάς: είναι ένας πολυδύναμος πρώτος ανταποκριτής που χρειάζεται ευρύ φάσμα δεξιοτήτων και συνεχή εκπαίδευση.</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Ένα ιδιαίτερο χαρακτηριστικό της ελληνικής πραγματικότητας αφορά τη γεωμορφολογία. Η χώρα είναι ορεινή (80% της έκτασης), νησιωτική (με πάνω από 200 κατοικημένα νησιά) και σεισμογενής (ανήκει στο Αλπικό-Ιμαλαϊκό σεισμικό τόξο). Αυτό σημαίνει ότι η πρόσβαση σε πολλές περιοχές είναι δύσκολη, ο χρόνος ανταπόκρισης αυξάνεται, και η αυτάρκεια των τοπικών μονάδων αποκτά κρίσιμη σημασία. Οι πυροσβεστικοί σταθμοί σε απομακρυσμένες περιοχές και νησιά δεν μπορούν να βασίζονται πάντοτε σε ταχεία ενίσχυση — γεγονός που καθιστά την εκπαίδευση του τοπικού προσωπικού ακόμη πιο επιτακτική. Παράλληλα, η κλιματική αλλαγή δημιουργεί νέους τύπους κινδύνων: η εμφάνιση σύνθετων γεγονότων (compound events), όπου μια πυρκαγιά ακολουθείται από πλημμύρα λόγω καταστροφής της βλάστησης, ή ένας σεισμός προκαλεί αστοχίες σε βιομηχανικές εγκαταστάσεις, απαιτεί πολυεπίπεδη ετοιμότητα που δεν μπορεί να αναπτυχθεί χωρίς συστηματική, πολυδιάστατη εκπαίδευση.</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Ο Πίνακας 2 παρουσιάζει τα στοιχεία μεγάλων δασικών πυρκαγιών στην Ελλάδα κατά την τελευταία εξαετία.</w:t>
      </w:r>
    </w:p>
    <w:p>
      <w:pPr>
        <w:spacing w:after="120" w:before="240" w:line="360"/>
        <w:jc w:val="center"/>
      </w:pPr>
      <w:r>
        <w:rPr>
          <w:rFonts w:ascii="Times New Roman" w:cs="Times New Roman" w:eastAsia="Times New Roman" w:hAnsi="Times New Roman"/>
          <w:b/>
          <w:bCs/>
          <w:i/>
          <w:iCs/>
          <w:sz w:val="22"/>
          <w:szCs w:val="22"/>
        </w:rPr>
        <w:t xml:space="preserve">Πίνακας 2: Μεγάλες δασικές πυρκαγιές στην Ελλάδα (2018-2023)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0%"/>
            <w:shd w:color="D9E2F3" w:val="solid"/>
          </w:tcPr>
          <w:p>
            <w:pPr>
              <w:spacing w:after="60" w:before="60"/>
              <w:jc w:val="center"/>
            </w:pPr>
            <w:r>
              <w:rPr>
                <w:rFonts w:ascii="Times New Roman" w:cs="Times New Roman" w:eastAsia="Times New Roman" w:hAnsi="Times New Roman"/>
                <w:b/>
                <w:bCs/>
                <w:i w:val="false"/>
                <w:iCs w:val="false"/>
                <w:sz w:val="20"/>
                <w:szCs w:val="20"/>
              </w:rPr>
              <w:t xml:space="preserve">Έτος</w:t>
            </w:r>
          </w:p>
        </w:tc>
        <w:tc>
          <w:tcPr>
            <w:tcW w:type="pct" w:w="20%"/>
            <w:shd w:color="D9E2F3" w:val="solid"/>
          </w:tcPr>
          <w:p>
            <w:pPr>
              <w:spacing w:after="60" w:before="60"/>
              <w:jc w:val="center"/>
            </w:pPr>
            <w:r>
              <w:rPr>
                <w:rFonts w:ascii="Times New Roman" w:cs="Times New Roman" w:eastAsia="Times New Roman" w:hAnsi="Times New Roman"/>
                <w:b/>
                <w:bCs/>
                <w:i w:val="false"/>
                <w:iCs w:val="false"/>
                <w:sz w:val="20"/>
                <w:szCs w:val="20"/>
              </w:rPr>
              <w:t xml:space="preserve">Τοποθεσία</w:t>
            </w:r>
          </w:p>
        </w:tc>
        <w:tc>
          <w:tcPr>
            <w:tcW w:type="pct" w:w="20%"/>
            <w:shd w:color="D9E2F3" w:val="solid"/>
          </w:tcPr>
          <w:p>
            <w:pPr>
              <w:spacing w:after="60" w:before="60"/>
              <w:jc w:val="center"/>
            </w:pPr>
            <w:r>
              <w:rPr>
                <w:rFonts w:ascii="Times New Roman" w:cs="Times New Roman" w:eastAsia="Times New Roman" w:hAnsi="Times New Roman"/>
                <w:b/>
                <w:bCs/>
                <w:i w:val="false"/>
                <w:iCs w:val="false"/>
                <w:sz w:val="20"/>
                <w:szCs w:val="20"/>
              </w:rPr>
              <w:t xml:space="preserve">Καμένη έκταση (εκτάρια)</w:t>
            </w:r>
          </w:p>
        </w:tc>
        <w:tc>
          <w:tcPr>
            <w:tcW w:type="pct" w:w="20%"/>
            <w:shd w:color="D9E2F3" w:val="solid"/>
          </w:tcPr>
          <w:p>
            <w:pPr>
              <w:spacing w:after="60" w:before="60"/>
              <w:jc w:val="center"/>
            </w:pPr>
            <w:r>
              <w:rPr>
                <w:rFonts w:ascii="Times New Roman" w:cs="Times New Roman" w:eastAsia="Times New Roman" w:hAnsi="Times New Roman"/>
                <w:b/>
                <w:bCs/>
                <w:i w:val="false"/>
                <w:iCs w:val="false"/>
                <w:sz w:val="20"/>
                <w:szCs w:val="20"/>
              </w:rPr>
              <w:t xml:space="preserve">Θύματα</w:t>
            </w:r>
          </w:p>
        </w:tc>
        <w:tc>
          <w:tcPr>
            <w:tcW w:type="pct" w:w="20%"/>
            <w:shd w:color="D9E2F3" w:val="solid"/>
          </w:tcPr>
          <w:p>
            <w:pPr>
              <w:spacing w:after="60" w:before="60"/>
              <w:jc w:val="center"/>
            </w:pPr>
            <w:r>
              <w:rPr>
                <w:rFonts w:ascii="Times New Roman" w:cs="Times New Roman" w:eastAsia="Times New Roman" w:hAnsi="Times New Roman"/>
                <w:b/>
                <w:bCs/>
                <w:i w:val="false"/>
                <w:iCs w:val="false"/>
                <w:sz w:val="20"/>
                <w:szCs w:val="20"/>
              </w:rPr>
              <w:t xml:space="preserve">Βασικά διδάγματα</w:t>
            </w:r>
          </w:p>
        </w:tc>
      </w:tr>
      <w:tr>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2018</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Μάτι, Αττική</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~1.300</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104</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Ανάγκη σχεδίων εκκένωσης, επικοινωνιακά κενά</w:t>
            </w:r>
          </w:p>
        </w:tc>
      </w:tr>
      <w:tr>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2019</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Εύβοια (Αύγουστος)</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~3.200</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0</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Επιτυχής εκκένωση, δύσκολη πρόσβαση</w:t>
            </w:r>
          </w:p>
        </w:tc>
      </w:tr>
      <w:tr>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2021</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Β. Εύβοια, Βαρυμπόμπη, Αρχαία Ολυμπία</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&gt;125.000</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3</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Ταυτόχρονα πολλαπλά μέτωπα, διεθνής βοήθεια</w:t>
            </w:r>
          </w:p>
        </w:tc>
      </w:tr>
      <w:tr>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2022</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Πεντέλη, Λέσβος</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~8.000</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0</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Βελτιωμένος συντονισμός, χρήση drones</w:t>
            </w:r>
          </w:p>
        </w:tc>
      </w:tr>
      <w:tr>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2023</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Δαδιά, Αλεξανδρούπολη, Πάρνηθα</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&gt;80.000</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21+</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Μεγαλύτερη πυρκαγιά στην ιστορία ΕΕ</w:t>
            </w:r>
          </w:p>
        </w:tc>
      </w:tr>
    </w:tbl>
    <w:p>
      <w:pPr>
        <w:spacing w:after="200"/>
      </w:pPr>
    </w:p>
    <w:p>
      <w:pPr>
        <w:pageBreakBefore/>
        <w:spacing w:after="240" w:before="480" w:line="360"/>
        <w:jc w:val="center"/>
      </w:pPr>
      <w:r>
        <w:rPr>
          <w:rFonts w:ascii="Times New Roman" w:cs="Times New Roman" w:eastAsia="Times New Roman" w:hAnsi="Times New Roman"/>
          <w:b/>
          <w:bCs/>
          <w:i w:val="false"/>
          <w:iCs w:val="false"/>
          <w:sz w:val="28"/>
          <w:szCs w:val="28"/>
        </w:rPr>
        <w:t xml:space="preserve">ΚΕΦΑΛΑΙΟ 4: ΤΟ ΕΚΠΑΙΔΕΥΤΙΚΟ ΣΥΣΤΗΜΑ ΚΑΙ ΟΙ ΜΟΡΦΕΣ ΑΣΚΗΣΕΩΝ ΣΤΟ ΠΥΡΟΣΒΕΣΤΙΚΟ ΣΩΜΑ</w:t>
      </w:r>
    </w:p>
    <w:p>
      <w:pPr>
        <w:spacing w:after="200" w:before="360" w:line="360"/>
        <w:jc w:val="left"/>
      </w:pPr>
      <w:r>
        <w:rPr>
          <w:rFonts w:ascii="Times New Roman" w:cs="Times New Roman" w:eastAsia="Times New Roman" w:hAnsi="Times New Roman"/>
          <w:b/>
          <w:bCs/>
          <w:i w:val="false"/>
          <w:iCs w:val="false"/>
          <w:sz w:val="26"/>
          <w:szCs w:val="26"/>
        </w:rPr>
        <w:t xml:space="preserve">4.1 Βασική εκπαίδευση: Πυροσβεστική Ακαδημία και Σχολή Πυροσβεστών</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εκπαίδευση στο ΠΣ ξεκινά από τις παραγωγικές σχολές: τη Σχολή Ανθυποπυραγών (τριετής φοίτηση) και τη Σχολή Πυροσβεστών (διάρκειας περίπου δύο ετών). Το πρόγραμμα σπουδών συνδυάζει θεωρητική διδασκαλία με πρακτική εξάσκηση. Στο θεωρητικό σκέλος περιλαμβάνονται μαθήματα πυροσβεστικής τακτικής, φυσικής και χημείας της καύσης, οικοδομικής, πρώτων βοηθειών, μετεωρολογίας, τοπογραφίας, καθώς και νομοθεσίας πολιτικής προστασίας. Στο πρακτικό σκέλος, οι σπουδαστές συμμετέχουν σε ασκήσεις κατάσβεσης, χρήσης εξοπλισμού, διάσωσης, σωματικής αγωγής και ειδικών τεχνικών (π.χ. αναρρίχηση, αυτοδιάσωση).</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αρχική εκπαίδευση παρέχει τη βάση, αλλά δεν επαρκεί μόνη της. Ο Ericsson (2006) υπογράμμισε ότι η εξειδικευμένη δεξιοτεχνία δεν εδραιώνεται κατά τη φοίτηση αλλά μέσω χρόνιας στοχευμένης εξάσκησης στο πεδίο. Η αρχική εκπαίδευση δημιουργεί το γνωστικό υπόβαθρο· η συνεχιζόμενη εκπαίδευση και οι ασκήσεις το μετατρέπουν σε λειτουργική ικανότητα.</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Σχολή Ανθυποπυραγών, που λειτουργεί στο πρότυπο ανώτατου εκπαιδευτικού ιδρύματος, εκπαιδεύει τα στελέχη που θα αναλάβουν ρόλους διοίκησης στο ΠΣ. Εδώ η εκπαίδευση περιλαμβάνει και θέματα ηγεσίας, σχεδιασμού επιχειρήσεων, διαχείρισης κρίσεων και νομοθεσίας. Ωστόσο, η πρόκληση παραμένει: η μετάβαση από τη σχολική αίθουσα στο πεδίο δεν είναι γραμμική. Ο νεοαποφοιτήσας αξιωματικός μπορεί να γνωρίζει τη θεωρία τακτικής αερισμού (ventilation) σε πυρκαγιά κτιρίου, αλλά η πρώτη φορά που θα εφαρμόσει αυτή τη γνώση υπό συνθήκες πραγματικού καπνού, θερμότητας και χρονικής πίεσης θα αποτελέσει αναπόφευκτο σοκ — εκτός εάν η μετάβαση αυτή έχει γεφυρωθεί μέσω ρεαλιστικών ασκήσεων κατά τη φοίτηση. Η ποιότητα των ασκήσεων στις σχολές, επομένως, καθορίζει σε μεγάλο βαθμό τη λειτουργική ετοιμότητα των αποφοίτων κατά την ένταξή τους στην υπηρεσία.</w:t>
      </w:r>
    </w:p>
    <w:p>
      <w:pPr>
        <w:spacing w:after="200" w:before="360" w:line="360"/>
        <w:jc w:val="left"/>
      </w:pPr>
      <w:r>
        <w:rPr>
          <w:rFonts w:ascii="Times New Roman" w:cs="Times New Roman" w:eastAsia="Times New Roman" w:hAnsi="Times New Roman"/>
          <w:b/>
          <w:bCs/>
          <w:i w:val="false"/>
          <w:iCs w:val="false"/>
          <w:sz w:val="26"/>
          <w:szCs w:val="26"/>
        </w:rPr>
        <w:t xml:space="preserve">4.2 Συνεχιζόμενη εκπαίδευση και δια βίου μάθηση</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Μετά την αρχική κατάρτιση, οι πυροσβέστες εντάσσονται σε ένα σύστημα συνεχιζόμενης εκπαίδευσης που λαμβάνει τρεις βασικές μορφές. Πρώτον, τακτικές εκπαιδεύσεις σε επίπεδο Πυροσβεστικού Σταθμού: κάθε βάρδια αφιερώνει χρόνο σε πρακτική εξάσκηση (ανάπτυξη σωλήνων, χρήση αναπνευστικών, δοκιμή αντλιών). Δεύτερον, σεμινάρια και εξειδικευμένα σχολεία σε ειδικά αντικείμενα (δασοπυρόσβεση, HAZMAT, ορεινή διάσωση, διάσωση σε τροχαία). Τρίτον, ασκήσεις τοπικού, περιφερειακού, εθνικού ή διεθνούς επιπέδου.</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σημασία των εκπαιδεύσεων σε επίπεδο σταθμού δεν πρέπει να υποτιμάται. Αυτές αποτελούν τον πυρήνα της καθημερινής προετοιμασίας: η βάρδια που αφιερώνει 30-60 λεπτά ημερησίως σε πρακτική εξάσκηση διατηρεί ζωντανές τις βασικές δεξιότητες και ενισχύει τη συνοχή του πληρώματος. Αντιθέτως, η βάρδια που περιορίζεται σε αναμονή κλήσεων χωρίς εκπαιδευτική δραστηριότητα παρουσιάζει σταδιακή φθορά δεξιοτήτων. Η θεσμοθέτηση ελάχιστων ωρών υποχρεωτικής εκπαίδευσης ανά βάρδια αποτελεί αντίδοτο σε αυτή την τάση.</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σημασία της δια βίου μάθησης στο πυροσβεστικό επάγγελμα είναι ιδιαίτερα κρίσιμη, διότι ο τομέας εξελίσσεται ραγδαία: νέοι τύποι κτιρίων (π.χ. πράσινα κτίρια με φωτοβολταϊκά), νέα υλικά κατασκευής, ηλεκτρικά οχήματα (με κίνδυνο θερμικής φυγής μπαταριών λιθίου), εξελίξεις στον εξοπλισμό. Η εκπαίδευση που πραγματοποιήθηκε πριν από δέκα χρόνια δεν επαρκεί πλέον. Σύμφωνα με τους Salas et al. (2012), η αποτελεσματικότητα δεξιοτήτων που αποκτήθηκαν μέσω εκπαίδευσης μειώνεται σημαντικά εάν δεν ανανεώνεται τακτικά.</w:t>
      </w:r>
    </w:p>
    <w:p>
      <w:pPr>
        <w:spacing w:after="200" w:before="360" w:line="360"/>
        <w:jc w:val="left"/>
      </w:pPr>
      <w:r>
        <w:rPr>
          <w:rFonts w:ascii="Times New Roman" w:cs="Times New Roman" w:eastAsia="Times New Roman" w:hAnsi="Times New Roman"/>
          <w:b/>
          <w:bCs/>
          <w:i w:val="false"/>
          <w:iCs w:val="false"/>
          <w:sz w:val="26"/>
          <w:szCs w:val="26"/>
        </w:rPr>
        <w:t xml:space="preserve">4.3 Τύποι ασκήσεων στο Πυροσβεστικό Σώμα</w:t>
      </w:r>
    </w:p>
    <w:p>
      <w:pPr>
        <w:spacing w:after="120" w:before="240" w:line="360"/>
        <w:jc w:val="left"/>
      </w:pPr>
      <w:r>
        <w:rPr>
          <w:rFonts w:ascii="Times New Roman" w:cs="Times New Roman" w:eastAsia="Times New Roman" w:hAnsi="Times New Roman"/>
          <w:b/>
          <w:bCs/>
          <w:i w:val="false"/>
          <w:iCs w:val="false"/>
          <w:sz w:val="24"/>
          <w:szCs w:val="24"/>
        </w:rPr>
        <w:t xml:space="preserve">4.3.1 Ασκήσεις επί χάρτου (table-top exercises)</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Οι ασκήσεις επί χάρτου αποτελούν θεωρητικές ασκήσεις κατά τις οποίες ένα σενάριο κρίσης παρουσιάζεται στους συμμετέχοντες, οι οποίοι καλούνται να αποφασίσουν τις ενέργειές τους χωρίς φυσική κινητοποίηση. Η μέθοδος αυτή χρησιμοποιείται κυρίως για την εκπαίδευση στελεχών διοίκησης στη λήψη στρατηγικών αποφάσεων, στην ιεράρχηση προτεραιοτήτων και στον συντονισμό πολλαπλών υπηρεσιών. Το βασικό πλεονέκτημα είναι το χαμηλό κόστος και η δυνατότητα σύνθεσης πολύπλοκων σεναρίων — ο βασικός περιορισμός είναι η απουσία φυσικής και ψυχολογικής πίεσης.</w:t>
      </w:r>
    </w:p>
    <w:p>
      <w:pPr>
        <w:spacing w:after="120" w:before="240" w:line="360"/>
        <w:jc w:val="left"/>
      </w:pPr>
      <w:r>
        <w:rPr>
          <w:rFonts w:ascii="Times New Roman" w:cs="Times New Roman" w:eastAsia="Times New Roman" w:hAnsi="Times New Roman"/>
          <w:b/>
          <w:bCs/>
          <w:i w:val="false"/>
          <w:iCs w:val="false"/>
          <w:sz w:val="24"/>
          <w:szCs w:val="24"/>
        </w:rPr>
        <w:t xml:space="preserve">4.3.2 Ασκήσεις πεδίου</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Οι ασκήσεις πεδίου διεξάγονται σε πραγματικό ή ειδικά διαμορφωμένο περιβάλλον (εκπαιδευτικά πολύγωνα, εγκαταλελειμμένα κτίρια, δασικές εκτάσεις) και περιλαμβάνουν τη χρήση πλήρους εξοπλισμού. Τα σενάρια μπορεί να αφορούν πυρκαγιά σε πολυώροφο κτίριο, απεγκλωβισμό σε τροχαίο, διάσωση σε ύψος ή αντιμετώπιση πλημμύρας. Οι ασκήσεις πεδίου θεωρούνται ο πλέον αποτελεσματικός τύπος εκπαίδευσης, καθώς πλησιάζουν τις πραγματικές συνθήκες: το προσωπικό φορά πλήρη εξάρτυση, λειτουργεί υπό χρονική πίεση και αλληλεπιδρά με τα μέλη της ομάδας σε ρεαλιστικό περιβάλλον (Burke et al., 2006).</w:t>
      </w:r>
    </w:p>
    <w:p>
      <w:pPr>
        <w:spacing w:after="120" w:before="240" w:line="360"/>
        <w:jc w:val="left"/>
      </w:pPr>
      <w:r>
        <w:rPr>
          <w:rFonts w:ascii="Times New Roman" w:cs="Times New Roman" w:eastAsia="Times New Roman" w:hAnsi="Times New Roman"/>
          <w:b/>
          <w:bCs/>
          <w:i w:val="false"/>
          <w:iCs w:val="false"/>
          <w:sz w:val="24"/>
          <w:szCs w:val="24"/>
        </w:rPr>
        <w:t xml:space="preserve">4.3.3 Ασκήσεις προσομοίωσης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Οι ασκήσεις προσομοίωσης αξιοποιούν τεχνολογικά μέσα (προσομοιωτές πυρκαγιάς, εικονική πραγματικότητα, λογισμικό μοντελοποίησης σεναρίων) για τη δημιουργία εκπαιδευτικών περιβαλλόντων που θα ήταν επικίνδυνα ή υπερβολικά κοστοβόρα να αναπαραχθούν στο πεδίο. Η μέθοδος αυτή δίνει τη δυνατότητα επανάληψης του ίδιου σεναρίου πολλαπλές φορές, παραμετρικής αλλαγής μεταβλητών (π.χ. ένταση ανέμου, αριθμός θυμάτων) και αντικειμενικής αξιολόγησης της απόδοσης. Η χρήση προσομοιωτών στην πυροσβεστική εκπαίδευση αποτελεί ένα ταχέως αναπτυσσόμενο πεδίο, με αυξανόμενη εφαρμογή σε χώρες της ΕΕ (Williams-Bell et al., 2015).</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Ένα σημαντικό πλεονέκτημα των προσομοιωτών είναι η δυνατότητα δοκιμής σεναρίων πολλαπλές φορές: ο εκπαιδευόμενος μπορεί να αντιμετωπίσει το ίδιο σενάριο πέντε φορές, κάθε φορά με διαφορετική στρατηγική, και να αξιολογήσει ποια προσέγγιση λειτουργεί καλύτερα. Αυτή η δυνατότητα επανάληψης χωρίς πρόσθετο κόστος ή κίνδυνο αποτελεί ουσιαστική εφαρμογή της αρχής της στοχευμένης εξάσκησης (Ericsson, 2006). Επιπλέον, οι ψηφιακοί προσομοιωτές μπορούν να ενσωματώσουν μεταβλητές που είναι αδύνατο να ελεγχθούν σε πραγματική άσκηση — όπως η ακριβής ταχύτητα εξάπλωσης μιας πυρκαγιάς, η κατάρρευση κτιρίου σε συγκεκριμένη χρονική στιγμή, ή η εμφάνιση δευτερεύοντος περιστατικού εν μέσω αποστολής. Σε ορισμένες χώρες, όπως η Σουηδία και η Γερμανία, χρησιμοποιούνται flashover containers — ειδικά κατασκευασμένα μεταλλικά κοντέινερ στα οποία δημιουργούνται πραγματικές συνθήκες flashover, επιτρέποντας στους εκπαιδευομένους να βιώσουν το φαινόμενο της ταχείας εξάπλωσης φωτιάς σε κλειστό χώρο υπό ελεγχόμενες συνθήκες ασφαλείας.</w:t>
      </w:r>
    </w:p>
    <w:p>
      <w:pPr>
        <w:spacing w:after="120" w:before="240" w:line="360"/>
        <w:jc w:val="left"/>
      </w:pPr>
      <w:r>
        <w:rPr>
          <w:rFonts w:ascii="Times New Roman" w:cs="Times New Roman" w:eastAsia="Times New Roman" w:hAnsi="Times New Roman"/>
          <w:b/>
          <w:bCs/>
          <w:i w:val="false"/>
          <w:iCs w:val="false"/>
          <w:sz w:val="24"/>
          <w:szCs w:val="24"/>
        </w:rPr>
        <w:t xml:space="preserve">4.3.4 Εξειδικευμένες ασκήσεις (ΕΜΑΚ)</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Οι μονάδες της ΕΜΑΚ εκπαιδεύονται σε σενάρια εξαιρετικά υψηλής πολυπλοκότητας: διάσωση σε ερείπια (χρήση σκυλιών, ακουστικών ανιχνευτών, υδραυλικών γρύλων), ορεινή διάσωση (κατάβαση σε γκρεμούς, αερομεταφορά), διάσωση σε πλημμυρισμένες περιοχές (χρήση φουσκωτών σκαφών, ρεύματα νερού) και αντιμετώπιση ΧΒΡΠ περιστατικών. Η εκπαίδευση ακολουθεί τα πρότυπα INSARAG (2020) και περιλαμβάνει τακτικές ασκήσεις βαρέος τύπου (heavy team exercises) με αξιολόγηση από εξωτερικούς κριτές.</w:t>
      </w:r>
    </w:p>
    <w:p>
      <w:pPr>
        <w:spacing w:after="200" w:before="360" w:line="360"/>
        <w:jc w:val="left"/>
      </w:pPr>
      <w:r>
        <w:rPr>
          <w:rFonts w:ascii="Times New Roman" w:cs="Times New Roman" w:eastAsia="Times New Roman" w:hAnsi="Times New Roman"/>
          <w:b/>
          <w:bCs/>
          <w:i w:val="false"/>
          <w:iCs w:val="false"/>
          <w:sz w:val="26"/>
          <w:szCs w:val="26"/>
        </w:rPr>
        <w:t xml:space="preserve">4.4 Σχεδιασμός, εκτέλεση και αξιολόγηση ασκήσεων</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αποτελεσματικότητα μιας άσκησης δεν εξαρτάται μόνο από τη φάση εκτέλεσης, αλλά εξίσου από τις φάσεις σχεδιασμού και αξιολόγησης. Ο σχεδιασμός περιλαμβάνει: τον καθορισμό εκπαιδευτικών στόχων (τι ακριβώς θέλουμε να ελέγξουμε ή να βελτιώσουμε), τη σύνταξη ρεαλιστικού σεναρίου με σαφή χρονοδιάγραμμα, την κατανομή ρόλων (συμμετέχοντες, κριτές, ομάδα ασφαλείας) και την προετοιμασία μέσων αξιολόγησης (φύλλα παρατήρησης, βιντεοσκόπηση).</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φάση ανατροφοδότησης (debriefing) μετά την ολοκλήρωση αποτελεί ίσως το πιο κρίσιμο στοιχείο. Σύμφωνα με τον Ericsson (2006), η εξάσκηση χωρίς ανατροφοδότηση δεν οδηγεί σε βελτίωση — ενδεχομένως μάλιστα παγιώνει λανθασμένες πρακτικές. Κατά το debriefing, η ομάδα αναλύει τι λειτούργησε, τι δεν λειτούργησε και γιατί — τόσο σε τεχνικό όσο και σε επικοινωνιακό/συντονιστικό επίπεδο. Η διαδικασία αυτή αντιστοιχεί στο στάδιο της «στοχαστικής παρατήρησης» του κύκλου Kolb (1984) και αποτελεί τη βάση για τη μετατροπή της εμπειρίας σε μάθηση.</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Ο Πίνακας 3 παρουσιάζει τα χαρακτηριστικά κάθε τύπου άσκησης.</w:t>
      </w:r>
    </w:p>
    <w:p>
      <w:pPr>
        <w:spacing w:after="120" w:before="240" w:line="360"/>
        <w:jc w:val="center"/>
      </w:pPr>
      <w:r>
        <w:rPr>
          <w:rFonts w:ascii="Times New Roman" w:cs="Times New Roman" w:eastAsia="Times New Roman" w:hAnsi="Times New Roman"/>
          <w:b/>
          <w:bCs/>
          <w:i/>
          <w:iCs/>
          <w:sz w:val="22"/>
          <w:szCs w:val="22"/>
        </w:rPr>
        <w:t xml:space="preserve">Πίνακας 3: Σύγκριση τύπων ασκήσεων στο Πυροσβεστικό Σώμα</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0%"/>
            <w:shd w:color="D9E2F3" w:val="solid"/>
          </w:tcPr>
          <w:p>
            <w:pPr>
              <w:spacing w:after="60" w:before="60"/>
              <w:jc w:val="center"/>
            </w:pPr>
            <w:r>
              <w:rPr>
                <w:rFonts w:ascii="Times New Roman" w:cs="Times New Roman" w:eastAsia="Times New Roman" w:hAnsi="Times New Roman"/>
                <w:b/>
                <w:bCs/>
                <w:i w:val="false"/>
                <w:iCs w:val="false"/>
                <w:sz w:val="20"/>
                <w:szCs w:val="20"/>
              </w:rPr>
              <w:t xml:space="preserve">Τύπος άσκησης</w:t>
            </w:r>
          </w:p>
        </w:tc>
        <w:tc>
          <w:tcPr>
            <w:tcW w:type="pct" w:w="20%"/>
            <w:shd w:color="D9E2F3" w:val="solid"/>
          </w:tcPr>
          <w:p>
            <w:pPr>
              <w:spacing w:after="60" w:before="60"/>
              <w:jc w:val="center"/>
            </w:pPr>
            <w:r>
              <w:rPr>
                <w:rFonts w:ascii="Times New Roman" w:cs="Times New Roman" w:eastAsia="Times New Roman" w:hAnsi="Times New Roman"/>
                <w:b/>
                <w:bCs/>
                <w:i w:val="false"/>
                <w:iCs w:val="false"/>
                <w:sz w:val="20"/>
                <w:szCs w:val="20"/>
              </w:rPr>
              <w:t xml:space="preserve">Περιβάλλον</w:t>
            </w:r>
          </w:p>
        </w:tc>
        <w:tc>
          <w:tcPr>
            <w:tcW w:type="pct" w:w="20%"/>
            <w:shd w:color="D9E2F3" w:val="solid"/>
          </w:tcPr>
          <w:p>
            <w:pPr>
              <w:spacing w:after="60" w:before="60"/>
              <w:jc w:val="center"/>
            </w:pPr>
            <w:r>
              <w:rPr>
                <w:rFonts w:ascii="Times New Roman" w:cs="Times New Roman" w:eastAsia="Times New Roman" w:hAnsi="Times New Roman"/>
                <w:b/>
                <w:bCs/>
                <w:i w:val="false"/>
                <w:iCs w:val="false"/>
                <w:sz w:val="20"/>
                <w:szCs w:val="20"/>
              </w:rPr>
              <w:t xml:space="preserve">Κόστος</w:t>
            </w:r>
          </w:p>
        </w:tc>
        <w:tc>
          <w:tcPr>
            <w:tcW w:type="pct" w:w="20%"/>
            <w:shd w:color="D9E2F3" w:val="solid"/>
          </w:tcPr>
          <w:p>
            <w:pPr>
              <w:spacing w:after="60" w:before="60"/>
              <w:jc w:val="center"/>
            </w:pPr>
            <w:r>
              <w:rPr>
                <w:rFonts w:ascii="Times New Roman" w:cs="Times New Roman" w:eastAsia="Times New Roman" w:hAnsi="Times New Roman"/>
                <w:b/>
                <w:bCs/>
                <w:i w:val="false"/>
                <w:iCs w:val="false"/>
                <w:sz w:val="20"/>
                <w:szCs w:val="20"/>
              </w:rPr>
              <w:t xml:space="preserve">Ρεαλιστικότητα</w:t>
            </w:r>
          </w:p>
        </w:tc>
        <w:tc>
          <w:tcPr>
            <w:tcW w:type="pct" w:w="20%"/>
            <w:shd w:color="D9E2F3" w:val="solid"/>
          </w:tcPr>
          <w:p>
            <w:pPr>
              <w:spacing w:after="60" w:before="60"/>
              <w:jc w:val="center"/>
            </w:pPr>
            <w:r>
              <w:rPr>
                <w:rFonts w:ascii="Times New Roman" w:cs="Times New Roman" w:eastAsia="Times New Roman" w:hAnsi="Times New Roman"/>
                <w:b/>
                <w:bCs/>
                <w:i w:val="false"/>
                <w:iCs w:val="false"/>
                <w:sz w:val="20"/>
                <w:szCs w:val="20"/>
              </w:rPr>
              <w:t xml:space="preserve">Κύριος στόχος</w:t>
            </w:r>
          </w:p>
        </w:tc>
      </w:tr>
      <w:tr>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Επί χάρτου</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Αίθουσα</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Χαμηλό</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Χαμηλή</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Στρατηγική σκέψη, συντονισμός</w:t>
            </w:r>
          </w:p>
        </w:tc>
      </w:tr>
      <w:tr>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Πεδίου</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Πραγματικό/μορφοποιημένο</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Υψηλό</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Υψηλή</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Τεχνική εξάσκηση, ομαδικότητα</w:t>
            </w:r>
          </w:p>
        </w:tc>
      </w:tr>
      <w:tr>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Προσομοίωσης</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Εικονικό (VR/προσομοιωτής)</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Μέτριο</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Μέτρια-Υψηλή</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Λήψη αποφάσεων, εξοικείωση</w:t>
            </w:r>
          </w:p>
        </w:tc>
      </w:tr>
      <w:tr>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Εξειδικευμένη (ΕΜΑΚ)</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Ειδικές εγκαταστάσεις</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Πολύ υψηλό</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Πολύ υψηλή</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Εξειδικευμένες δεξιότητες USAR</w:t>
            </w:r>
          </w:p>
        </w:tc>
      </w:tr>
    </w:tbl>
    <w:p>
      <w:pPr>
        <w:spacing w:after="200"/>
      </w:pPr>
    </w:p>
    <w:p>
      <w:pPr>
        <w:pageBreakBefore/>
        <w:spacing w:after="240" w:before="480" w:line="360"/>
        <w:jc w:val="center"/>
      </w:pPr>
      <w:r>
        <w:rPr>
          <w:rFonts w:ascii="Times New Roman" w:cs="Times New Roman" w:eastAsia="Times New Roman" w:hAnsi="Times New Roman"/>
          <w:b/>
          <w:bCs/>
          <w:i w:val="false"/>
          <w:iCs w:val="false"/>
          <w:sz w:val="28"/>
          <w:szCs w:val="28"/>
        </w:rPr>
        <w:t xml:space="preserve">ΚΕΦΑΛΑΙΟ 5: Η ΕΠΙΔΡΑΣΗ ΤΗΣ ΕΚΠΑΙΔΕΥΣΗΣ ΜΕΣΩ ΑΣΚΗΣΕΩΝ ΣΤΗΝ ΕΠΙΧΕΙΡΗΣΙΑΚΗ ΕΤΟΙΜΟΤΗΤΑ</w:t>
      </w:r>
    </w:p>
    <w:p>
      <w:pPr>
        <w:spacing w:after="200" w:before="360" w:line="360"/>
        <w:jc w:val="left"/>
      </w:pPr>
      <w:r>
        <w:rPr>
          <w:rFonts w:ascii="Times New Roman" w:cs="Times New Roman" w:eastAsia="Times New Roman" w:hAnsi="Times New Roman"/>
          <w:b/>
          <w:bCs/>
          <w:i w:val="false"/>
          <w:iCs w:val="false"/>
          <w:sz w:val="26"/>
          <w:szCs w:val="26"/>
        </w:rPr>
        <w:t xml:space="preserve">5.1 Επίδραση στη σωματική ετοιμότητα</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συστηματική συμμετοχή σε ασκήσεις πεδίου λειτουργεί ταυτόχρονα ως εκπαιδευτική διαδικασία και ως πρόγραμμα φυσικής κατάστασης. Κατά τη διάρκεια μιας τυπικής άσκησης, ο πυροσβέστης εκτελεί δραστηριότητες υψηλής σωματικής απαίτησης: μεταφορά εύκαμπτων και ανεύκαμπτων σωλήνων, ανάπτυξη γραμμών νερού, αναρρίχηση σε κλίμακες φέροντας εξοπλισμό, μεταφορά τραυματιών σε φορεία. Η επαναλαμβανόμενη εκτέλεση αυτών των δραστηριοτήτων προκαλεί προσαρμοστικές αντιδράσεις στο καρδιαγγειακό, στο μυοσκελετικό και στο αναπνευστικό σύστημα.</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Οι Smith et al. (2019) κατέδειξαν τη στενή σχέση μεταξύ σωματικής κατάστασης και ασφάλειας στο πυροσβεστικό επάγγελμα: πυροσβέστες με χαμηλό καρδιοαναπνευστικό δείκτη παρουσιάζουν πολλαπλάσιο κίνδυνο καρδιακού θανάτου κατά τη διάρκεια επιχειρήσεων κατάσβεσης. Η πρακτική εξάσκηση μέσω ασκήσεων προσφέρει ένα λειτουργικό μοντέλο φυσικής κατάστασης — δηλαδή γυμναστική που αντιστοιχεί στις πραγματικές κινητικές απαιτήσεις του επαγγέλματος, σε αντίθεση με τη γενική αερόβια ή αναερόβια άσκηση. Ο πυροσβέστης που εξασκείται τακτικά στην ανάπτυξη σωλήνων, στην αναρρίχηση κλίμακας και στη μεταφορά φορείου βελτιώνει ακριβώς τις μυϊκές ομάδες και τα κινητικά πρότυπα που θα χρειαστεί στο πεδίο.</w:t>
      </w:r>
    </w:p>
    <w:p>
      <w:pPr>
        <w:spacing w:after="200" w:before="360" w:line="360"/>
        <w:jc w:val="left"/>
      </w:pPr>
      <w:r>
        <w:rPr>
          <w:rFonts w:ascii="Times New Roman" w:cs="Times New Roman" w:eastAsia="Times New Roman" w:hAnsi="Times New Roman"/>
          <w:b/>
          <w:bCs/>
          <w:i w:val="false"/>
          <w:iCs w:val="false"/>
          <w:sz w:val="26"/>
          <w:szCs w:val="26"/>
        </w:rPr>
        <w:t xml:space="preserve">5.2 Επίδραση στην τεχνική επάρκεια</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τεχνική γνώση αποκτά πραγματική αξία μόνο όταν μετατρέπεται σε αυτοματοποιημένη δεξιότητα. Στη γνωστική ψυχολογία, η μετάβαση από τη συνειδητή εφαρμογή κανόνων (δηλωτική γνώση) στην ασυνείδητη, ταχεία εκτέλεση (διαδικαστική γνώση) επιτυγχάνεται μέσω επαναλαμβανόμενης εξάσκησης — αυτό που ο Ericsson et al. (1993) ονόμασαν deliberate practice. Ένας πυροσβέστης που έχει εκτελέσει τη διαδικασία σύνδεσης σε κρουνό δεκάδες φορές κατά τη διάρκεια ασκήσεων μπορεί να την εκτελέσει σχεδόν αυτόματα σε πραγματικό περιστατικό — ελευθερώνοντας γνωστικούς πόρους για τη λήψη αποφάσεων.</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πρακτική εξάσκηση συμβάλλει επίσης στη μείωση σφαλμάτων. Η μετα-ανάλυση των Salas et al. (2008) έδειξε ότι η ομαδική εκπαίδευση μειώνει τα λειτουργικά σφάλματα κατά 20-30% σε σενάρια υψηλής πίεσης. Αυτό οφείλεται στην αυτοματοποίηση βασικών ενεργειών (μείωση φόρτου εργασίας), στην ενίσχυση κοινών νοητικών μοντέλων (τα μέλη γνωρίζουν τι αναμένεται από τον καθένα) και στη βελτίωση της ικανότητας ανίχνευσης σφαλμάτων εντός της ομάδας.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αξία της τεχνικής εξάσκησης γίνεται ιδιαίτερα σαφής σε σύνθετες δεξιότητες, όπου η ταυτόχρονη διαχείριση πολλαπλών μεταβλητών αποτελεί αναγκαιότητα. Η πρόσβαση σε πυρκαγιά κτιρίου, για παράδειγμα, απαιτεί ταυτόχρονα: αξιολόγηση δομικής ακεραιότητας, επιλογή σημείου εισόδου, εκτίμηση σταδίου πυρκαγιάς (αύξουσα, πλήρης ανάπτυξη, φθίνουσα), απόφαση για αερισμό ή μη, και συντονισμό με τη γραμμή νερού εξωτερικά. Κάθε μία από αυτές τις αποφάσεις απαιτεί τεχνική γνώση — αλλά η ικανότητα να ληφθούν ταυτόχρονα, σε δευτερόλεπτα, αποκτάται μόνο μέσω πρακτικής επανάληψης σε ρεαλιστικά σενάρια. Η θεωρία μόνη της δεν αρκεί: ο πυροσβέστης πρέπει να έχει «ζήσει» αρκετές φορές αυτή τη συνθήκη ώστε να αναπτύξει γρήγορα αναγνωριστικά πρότυπα (pattern recognition) που του επιτρέπουν ταχεία εκτίμηση χωρίς εκτεταμένη ανάλυση (Ericsson, 2006).</w:t>
      </w:r>
    </w:p>
    <w:p>
      <w:pPr>
        <w:spacing w:after="200" w:before="360" w:line="360"/>
        <w:jc w:val="left"/>
      </w:pPr>
      <w:r>
        <w:rPr>
          <w:rFonts w:ascii="Times New Roman" w:cs="Times New Roman" w:eastAsia="Times New Roman" w:hAnsi="Times New Roman"/>
          <w:b/>
          <w:bCs/>
          <w:i w:val="false"/>
          <w:iCs w:val="false"/>
          <w:sz w:val="26"/>
          <w:szCs w:val="26"/>
        </w:rPr>
        <w:t xml:space="preserve">5.3 Επίδραση στην ψυχολογική ανθεκτικότητα</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ψυχολογική ετοιμότητα αναπτύσσεται πρωτίστως μέσω αυτού που η βιβλιογραφία αποκαλεί «εμβολιασμό στρες» (stress inoculation). Η βασική αρχή, που εισήγαγε ο Meichenbaum (2007) και εφάρμοσε ο Grossman στο στρατιωτικό πεδίο (Grossman &amp; Christensen, 2008), είναι ότι η ελεγχόμενη έκθεση σε στρεσογόνες συνθήκες δημιουργεί σταδιακά ψυχολογική ανθεκτικότητα: ο οργανισμός «μαθαίνει» να λειτουργεί υπό πίεση, η φυσιολογική απόκριση στο στρες μετριάζεται, και η ικανότητα λήψης αποφάσεων διατηρείται ακόμη και σε ακραίες καταστάσεις.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Στο πυροσβεστικό πεδίο, η εφαρμογή αυτής της αρχής σημαίνει ότι οι ασκήσεις δεν χρειάζεται μόνο να είναι τεχνικά ορθές, αλλά και να αναπαράγουν, στον βαθμό του δυνατού, τις ψυχολογικές συνθήκες μιας πραγματικής επιχείρησης: χρονική πίεση, θόρυβο, περιορισμένη ορατότητα, αβεβαιότητα ως προς τον αριθμό θυμάτων, ανάγκη ταυτόχρονης διαχείρισης πολλαπλών εργασιών. Ο πυροσβέστης που έχει «ζήσει» αυτές τις συνθήκες σε ασκήσεις πολλές φορές παρουσιάζει σημαντικά χαμηλότερο επίπεδο αντίδρασης πανικού και υψηλότερη ικανότητα γνωστικής λειτουργίας σε πραγματικό περιστατικό. Οι Kleim και Westphal (2011) τονίζουν ότι η αυτοαποτελεσματικότητα (self-efficacy) που αποκτάται μέσω επιτυχούς αντιμετώπισης δύσκολων σεναρίων εκπαίδευσης αποτελεί προστατευτικό παράγοντα κατά του PTSD.</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φυσιολογική βάση αυτής της διαδικασίας αξίζει σύντομη αναφορά. Ο Grossman (Grossman &amp; Christensen, 2008) περιέγραψε πώς η αύξηση του καρδιακού ρυθμού υπό στρες επηρεάζει τις γνωστικές λειτουργίες: σε παλμούς 115-145/λεπτό (zone of optimal performance), ο οργανισμός βρίσκεται σε κατάσταση αυξημένης εγρήγορσης αλλά διατηρεί τη γνωστική λειτουργία. Πάνω από 145 παλμούς αρχίζει η υποβάθμιση λεπτών κινητικών δεξιοτήτων, και πάνω από 175 παλμούς εγκαθίσταται αυτοματοποιημένη αντίδραση («fight or flight») με σοβαρή γνωστική αποσύνδεση — απώλεια βάθους πεδίου, σηραγγοειδής όραση, ακουστική αποκλεισμός. Η εκπαίδευση μέσω ρεαλιστικών ασκήσεων λειτουργεί ακριβώς σε αυτό το πεδίο: ο εκπαιδευόμενος μαθαίνει να δρα αποτελεσματικά σε καρδιακούς ρυθμούς που θα προκαλούσαν πανικό σε μη εκπαιδευμένο άτομο. Η ελεγχόμενη αναπνοή (tactical breathing), η εστίαση στη δράση αντί στο συναίσθημα, και η αυτοματοποίηση κινητικών αλληλουχιών αποτελούν μηχανισμούς που αναπτύσσονται αποκλειστικά μέσω πρακτικής εξάσκησης.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Ένας πρόσθετος ψυχολογικός μηχανισμός αφορά τη δημιουργία αυτοπεποίθησης. Η αυτοαποτελεσματικότητα — η πεποίθηση του ατόμου ότι είναι ικανό να ανταποκριθεί σε μια πρόκληση — συνδέεται άμεσα με την εκπαίδευση. Ο πυροσβέστης που γνωρίζει ότι έχει αντιμετωπίσει παρόμοια σενάρια δεκάδες φορές σε ασκήσεις αισθάνεται πιο έτοιμος να αντιμετωπίσει ένα πραγματικό περιστατικό. Η αίσθηση αυτή δεν αποτελεί απλώς ψυχολογική «πολυτέλεια» — επηρεάζει μετρήσιμα την απόδοση: άτομα με υψηλή αυτοαποτελεσματικότητα λαμβάνουν αποφάσεις ταχύτερα, επιμένουν περισσότερο σε δύσκολες καταστάσεις και ανακάμπτουν γρηγορότερα μετά από αποτυχία.</w:t>
      </w:r>
    </w:p>
    <w:p>
      <w:pPr>
        <w:spacing w:after="200" w:before="360" w:line="360"/>
        <w:jc w:val="left"/>
      </w:pPr>
      <w:r>
        <w:rPr>
          <w:rFonts w:ascii="Times New Roman" w:cs="Times New Roman" w:eastAsia="Times New Roman" w:hAnsi="Times New Roman"/>
          <w:b/>
          <w:bCs/>
          <w:i w:val="false"/>
          <w:iCs w:val="false"/>
          <w:sz w:val="26"/>
          <w:szCs w:val="26"/>
        </w:rPr>
        <w:t xml:space="preserve">5.4 Επίδραση στην ομαδική συνεργασία και συντονισμό</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Το πυροσβεστικό έργο είναι εγγενώς ομαδικό: καμία επιχείρηση δεν εκτελείται από μεμονωμένο άτομο. Η ποιότητα της ομαδικής λειτουργίας — επικοινωνία, συντονισμός, αμοιβαία παρακολούθηση, αναπλήρωση ρόλων — αποτελεί καθοριστικό παράγοντα αποτελεσματικότητας. Οι κοινές ασκήσεις αποτελούν τον πρωταρχικό μηχανισμό ανάπτυξης αυτών των ομαδικών δεξιοτήτων.</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Σύμφωνα με τους Salas et al. (2008), η ομαδική εκπαίδευση παράγει τρία βασικά αποτελέσματα: (α) κοινά νοητικά μοντέλα — τα μέλη αναπτύσσουν κοινή αντίληψη για τον τρόπο αντιμετώπισης μιας κατάστασης, (β) αμοιβαία εμπιστοσύνη — η κοινή εμπειρία δύσκολων σεναρίων ενισχύει τη σύνδεση μεταξύ μελών, και (γ) κοινό λεξιλόγιο — η ομάδα αναπτύσσει σύντομους, αποτελεσματικούς τρόπους επικοινωνίας που μειώνουν τον χρόνο μεταβίβασης πληροφοριών σε κρίσιμες στιγμές. Η αξία αυτών των στοιχείων γίνεται ιδιαίτερα εμφανής σε μεγάλες επιχειρήσεις, όπου πολλαπλά πληρώματα πρέπει να συνεργαστούν υπό πίεση (Flin et al., 2008).</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Ένα χαρακτηριστικό παράδειγμα αφορά την επικοινωνία σε ένα πυροσβεστικό πλήρωμα κατά τη διάρκεια πυρκαγιάς σε κτίριο. Η ομάδα εσωτερικής επέμβασης (τυπικά 2-4 πυροσβέστες) πρέπει να επικοινωνεί συνεχώς με τον αρχηγό πληρώματος εξωτερικά: να αναφέρει τι βρίσκει (θύματα, επεκτάσεις φωτιάς, δομικές αστοχίες), να λαμβάνει οδηγίες (αλλαγή τομέα, εκκένωση ορόφου, αίτημα νερού), και να συντονίζει τις κινήσεις της με τη δεύτερη ομάδα που ίσως επιχειρεί σε γειτονικό τομέα. Σε πραγματικές συνθήκες — με θόρυβο αντλιών, φωνές πολιτών, κρούσεις μεταλλικών κατασκευών — η επικοινωνία μέσω ασυρμάτου μπορεί να αποτελέσει σοβαρή πρόκληση. Η μόνη πρακτική λύση είναι η εξάσκηση: πληρώματα που ασκούνται τακτικά μαζί αναπτύσσουν σύντομες, κωδικοποιημένες μορφές επικοινωνίας, αμοιβαίους μηχανισμούς ελέγχου, και την ικανότητα ερμηνείας ασθενών σημάτων (π.χ. ο τόνος της φωνής ενός συναδέλφου μέσω ασυρμάτου μπορεί να υποδηλώνει πανικό πριν ακόμη εκφραστεί λεκτικά).</w:t>
      </w:r>
    </w:p>
    <w:p>
      <w:pPr>
        <w:spacing w:after="200" w:before="360" w:line="360"/>
        <w:jc w:val="left"/>
      </w:pPr>
      <w:r>
        <w:rPr>
          <w:rFonts w:ascii="Times New Roman" w:cs="Times New Roman" w:eastAsia="Times New Roman" w:hAnsi="Times New Roman"/>
          <w:b/>
          <w:bCs/>
          <w:i w:val="false"/>
          <w:iCs w:val="false"/>
          <w:sz w:val="26"/>
          <w:szCs w:val="26"/>
        </w:rPr>
        <w:t xml:space="preserve">5.5 Σχέση συχνότητας ασκήσεων και επιπέδου ετοιμότητας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συχνότητα εκπαίδευσης αποτελεί κρίσιμη μεταβλητή. Η βιβλιογραφία τεκμηριώνει ότι οι δεξιότητες που δεν ασκούνται τακτικά υποβαθμίζονται ταχύτατα — φαινόμενο γνωστό ως «φθορά δεξιοτήτων» (skill decay). Οι Salas et al. (2012) σημείωσαν ότι η απόδοση σε σύνθετες δεξιότητες μπορεί να μειωθεί αισθητά εντός λίγων μηνών χωρίς πρακτική εξάσκηση. Για τη δασοπυρόσβεση, η εποχικότητα δημιουργεί ένα πρόσθετο πρόβλημα: πυροσβέστες που δεν ασκούνται σε δασικά σενάρια κατά τη χειμερινή περίοδο μπορεί να ξεκινήσουν την αντιπυρική περίοδο με υποβαθμισμένη ετοιμότητα.</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βέλτιστη πρακτική, σύμφωνα με τη διεθνή εμπειρία, περιλαμβάνει: (α) καθημερινή πρακτική εξάσκηση σε βασικές δεξιότητες στο επίπεδο της βάρδιας, (β) μηνιαίες ή διμηνιαίες ασκήσεις μεγαλύτερης κλίμακας σε επίπεδο σταθμού ή διοίκησης, (γ) τριμηνιαίες ή εξαμηνιαίες ασκήσεις πολυφορεακού συντονισμού, και (δ) ετήσιες μεγάλες ασκήσεις σε εθνικό ή διεθνές επίπεδο. Η ιδανική συχνότητα εξαρτάται, βέβαια, από τους διαθέσιμους πόρους — αλλά η αρχή παραμένει σαφής: όσο πιο τακτική είναι η εξάσκηση, τόσο πιο σταθερά διατηρείται η ετοιμότητα.</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Ο Πίνακας 4 συνοψίζει βασικές ερευνητικές διαπιστώσεις σχετικά με την αποτελεσματικότητα ασκήσεων.</w:t>
      </w:r>
    </w:p>
    <w:p>
      <w:pPr>
        <w:spacing w:after="120" w:before="240" w:line="360"/>
        <w:jc w:val="center"/>
      </w:pPr>
      <w:r>
        <w:rPr>
          <w:rFonts w:ascii="Times New Roman" w:cs="Times New Roman" w:eastAsia="Times New Roman" w:hAnsi="Times New Roman"/>
          <w:b/>
          <w:bCs/>
          <w:i/>
          <w:iCs/>
          <w:sz w:val="22"/>
          <w:szCs w:val="22"/>
        </w:rPr>
        <w:t xml:space="preserve">Πίνακας 4: Βασικά ερευνητικά ευρήματα για την αποτελεσματικότητα ασκήσεων</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color="D9E2F3" w:val="solid"/>
          </w:tcPr>
          <w:p>
            <w:pPr>
              <w:spacing w:after="60" w:before="60"/>
              <w:jc w:val="center"/>
            </w:pPr>
            <w:r>
              <w:rPr>
                <w:rFonts w:ascii="Times New Roman" w:cs="Times New Roman" w:eastAsia="Times New Roman" w:hAnsi="Times New Roman"/>
                <w:b/>
                <w:bCs/>
                <w:i w:val="false"/>
                <w:iCs w:val="false"/>
                <w:sz w:val="20"/>
                <w:szCs w:val="20"/>
              </w:rPr>
              <w:t xml:space="preserve">Εύρημα</w:t>
            </w:r>
          </w:p>
        </w:tc>
        <w:tc>
          <w:tcPr>
            <w:tcW w:type="pct" w:w="50%"/>
            <w:shd w:color="D9E2F3" w:val="solid"/>
          </w:tcPr>
          <w:p>
            <w:pPr>
              <w:spacing w:after="60" w:before="60"/>
              <w:jc w:val="center"/>
            </w:pPr>
            <w:r>
              <w:rPr>
                <w:rFonts w:ascii="Times New Roman" w:cs="Times New Roman" w:eastAsia="Times New Roman" w:hAnsi="Times New Roman"/>
                <w:b/>
                <w:bCs/>
                <w:i w:val="false"/>
                <w:iCs w:val="false"/>
                <w:sz w:val="20"/>
                <w:szCs w:val="20"/>
              </w:rPr>
              <w:t xml:space="preserve">Πηγή</w:t>
            </w:r>
          </w:p>
        </w:tc>
      </w:tr>
      <w:tr>
        <w:tc>
          <w:tcPr>
            <w:tcW w:type="pct" w:w="50%"/>
          </w:tcPr>
          <w:p>
            <w:pPr>
              <w:spacing w:after="40" w:before="40"/>
              <w:jc w:val="left"/>
            </w:pPr>
            <w:r>
              <w:rPr>
                <w:rFonts w:ascii="Times New Roman" w:cs="Times New Roman" w:eastAsia="Times New Roman" w:hAnsi="Times New Roman"/>
                <w:b w:val="false"/>
                <w:bCs w:val="false"/>
                <w:i w:val="false"/>
                <w:iCs w:val="false"/>
                <w:sz w:val="20"/>
                <w:szCs w:val="20"/>
              </w:rPr>
              <w:t xml:space="preserve">Η ομαδική εκπαίδευση βελτιώνει σημαντικά τη λειτουργική απόδοση (μετα-ανάλυση 93 μελετών)</w:t>
            </w:r>
          </w:p>
        </w:tc>
        <w:tc>
          <w:tcPr>
            <w:tcW w:type="pct" w:w="50%"/>
          </w:tcPr>
          <w:p>
            <w:pPr>
              <w:spacing w:after="40" w:before="40"/>
              <w:jc w:val="left"/>
            </w:pPr>
            <w:r>
              <w:rPr>
                <w:rFonts w:ascii="Times New Roman" w:cs="Times New Roman" w:eastAsia="Times New Roman" w:hAnsi="Times New Roman"/>
                <w:b w:val="false"/>
                <w:bCs w:val="false"/>
                <w:i w:val="false"/>
                <w:iCs w:val="false"/>
                <w:sz w:val="20"/>
                <w:szCs w:val="20"/>
              </w:rPr>
              <w:t xml:space="preserve">Salas et al., 2008</w:t>
            </w:r>
          </w:p>
        </w:tc>
      </w:tr>
      <w:tr>
        <w:tc>
          <w:tcPr>
            <w:tcW w:type="pct" w:w="50%"/>
          </w:tcPr>
          <w:p>
            <w:pPr>
              <w:spacing w:after="40" w:before="40"/>
              <w:jc w:val="left"/>
            </w:pPr>
            <w:r>
              <w:rPr>
                <w:rFonts w:ascii="Times New Roman" w:cs="Times New Roman" w:eastAsia="Times New Roman" w:hAnsi="Times New Roman"/>
                <w:b w:val="false"/>
                <w:bCs w:val="false"/>
                <w:i w:val="false"/>
                <w:iCs w:val="false"/>
                <w:sz w:val="20"/>
                <w:szCs w:val="20"/>
              </w:rPr>
              <w:t xml:space="preserve">Η στοχευμένη εξάσκηση (deliberate practice) απαιτεί σαφείς στόχους, ανατροφοδότηση και σταδιακή αύξηση δυσκολίας</w:t>
            </w:r>
          </w:p>
        </w:tc>
        <w:tc>
          <w:tcPr>
            <w:tcW w:type="pct" w:w="50%"/>
          </w:tcPr>
          <w:p>
            <w:pPr>
              <w:spacing w:after="40" w:before="40"/>
              <w:jc w:val="left"/>
            </w:pPr>
            <w:r>
              <w:rPr>
                <w:rFonts w:ascii="Times New Roman" w:cs="Times New Roman" w:eastAsia="Times New Roman" w:hAnsi="Times New Roman"/>
                <w:b w:val="false"/>
                <w:bCs w:val="false"/>
                <w:i w:val="false"/>
                <w:iCs w:val="false"/>
                <w:sz w:val="20"/>
                <w:szCs w:val="20"/>
              </w:rPr>
              <w:t xml:space="preserve">Ericsson et al., 1993</w:t>
            </w:r>
          </w:p>
        </w:tc>
      </w:tr>
      <w:tr>
        <w:tc>
          <w:tcPr>
            <w:tcW w:type="pct" w:w="50%"/>
          </w:tcPr>
          <w:p>
            <w:pPr>
              <w:spacing w:after="40" w:before="40"/>
              <w:jc w:val="left"/>
            </w:pPr>
            <w:r>
              <w:rPr>
                <w:rFonts w:ascii="Times New Roman" w:cs="Times New Roman" w:eastAsia="Times New Roman" w:hAnsi="Times New Roman"/>
                <w:b w:val="false"/>
                <w:bCs w:val="false"/>
                <w:i w:val="false"/>
                <w:iCs w:val="false"/>
                <w:sz w:val="20"/>
                <w:szCs w:val="20"/>
              </w:rPr>
              <w:t xml:space="preserve">Οι δεξιότητες φθίνουν αισθητά χωρίς τακτική εξάσκηση (skill decay)</w:t>
            </w:r>
          </w:p>
        </w:tc>
        <w:tc>
          <w:tcPr>
            <w:tcW w:type="pct" w:w="50%"/>
          </w:tcPr>
          <w:p>
            <w:pPr>
              <w:spacing w:after="40" w:before="40"/>
              <w:jc w:val="left"/>
            </w:pPr>
            <w:r>
              <w:rPr>
                <w:rFonts w:ascii="Times New Roman" w:cs="Times New Roman" w:eastAsia="Times New Roman" w:hAnsi="Times New Roman"/>
                <w:b w:val="false"/>
                <w:bCs w:val="false"/>
                <w:i w:val="false"/>
                <w:iCs w:val="false"/>
                <w:sz w:val="20"/>
                <w:szCs w:val="20"/>
              </w:rPr>
              <w:t xml:space="preserve">Salas et al., 2012</w:t>
            </w:r>
          </w:p>
        </w:tc>
      </w:tr>
      <w:tr>
        <w:tc>
          <w:tcPr>
            <w:tcW w:type="pct" w:w="50%"/>
          </w:tcPr>
          <w:p>
            <w:pPr>
              <w:spacing w:after="40" w:before="40"/>
              <w:jc w:val="left"/>
            </w:pPr>
            <w:r>
              <w:rPr>
                <w:rFonts w:ascii="Times New Roman" w:cs="Times New Roman" w:eastAsia="Times New Roman" w:hAnsi="Times New Roman"/>
                <w:b w:val="false"/>
                <w:bCs w:val="false"/>
                <w:i w:val="false"/>
                <w:iCs w:val="false"/>
                <w:sz w:val="20"/>
                <w:szCs w:val="20"/>
              </w:rPr>
              <w:t xml:space="preserve">Η δομημένη ανατροφοδότηση (debriefing) είναι κρίσιμη για τη μετατροπή εμπειρίας σε μάθηση</w:t>
            </w:r>
          </w:p>
        </w:tc>
        <w:tc>
          <w:tcPr>
            <w:tcW w:type="pct" w:w="50%"/>
          </w:tcPr>
          <w:p>
            <w:pPr>
              <w:spacing w:after="40" w:before="40"/>
              <w:jc w:val="left"/>
            </w:pPr>
            <w:r>
              <w:rPr>
                <w:rFonts w:ascii="Times New Roman" w:cs="Times New Roman" w:eastAsia="Times New Roman" w:hAnsi="Times New Roman"/>
                <w:b w:val="false"/>
                <w:bCs w:val="false"/>
                <w:i w:val="false"/>
                <w:iCs w:val="false"/>
                <w:sz w:val="20"/>
                <w:szCs w:val="20"/>
              </w:rPr>
              <w:t xml:space="preserve">Kolb, 1984</w:t>
            </w:r>
          </w:p>
        </w:tc>
      </w:tr>
      <w:tr>
        <w:tc>
          <w:tcPr>
            <w:tcW w:type="pct" w:w="50%"/>
          </w:tcPr>
          <w:p>
            <w:pPr>
              <w:spacing w:after="40" w:before="40"/>
              <w:jc w:val="left"/>
            </w:pPr>
            <w:r>
              <w:rPr>
                <w:rFonts w:ascii="Times New Roman" w:cs="Times New Roman" w:eastAsia="Times New Roman" w:hAnsi="Times New Roman"/>
                <w:b w:val="false"/>
                <w:bCs w:val="false"/>
                <w:i w:val="false"/>
                <w:iCs w:val="false"/>
                <w:sz w:val="20"/>
                <w:szCs w:val="20"/>
              </w:rPr>
              <w:t xml:space="preserve">Η αυτοαποτελεσματικότητα από ασκήσεις αποτελεί προστατευτικό παράγοντα κατά PTSD</w:t>
            </w:r>
          </w:p>
        </w:tc>
        <w:tc>
          <w:tcPr>
            <w:tcW w:type="pct" w:w="50%"/>
          </w:tcPr>
          <w:p>
            <w:pPr>
              <w:spacing w:after="40" w:before="40"/>
              <w:jc w:val="left"/>
            </w:pPr>
            <w:r>
              <w:rPr>
                <w:rFonts w:ascii="Times New Roman" w:cs="Times New Roman" w:eastAsia="Times New Roman" w:hAnsi="Times New Roman"/>
                <w:b w:val="false"/>
                <w:bCs w:val="false"/>
                <w:i w:val="false"/>
                <w:iCs w:val="false"/>
                <w:sz w:val="20"/>
                <w:szCs w:val="20"/>
              </w:rPr>
              <w:t xml:space="preserve">Kleim &amp; Westphal, 2011</w:t>
            </w:r>
          </w:p>
        </w:tc>
      </w:tr>
      <w:tr>
        <w:tc>
          <w:tcPr>
            <w:tcW w:type="pct" w:w="50%"/>
          </w:tcPr>
          <w:p>
            <w:pPr>
              <w:spacing w:after="40" w:before="40"/>
              <w:jc w:val="left"/>
            </w:pPr>
            <w:r>
              <w:rPr>
                <w:rFonts w:ascii="Times New Roman" w:cs="Times New Roman" w:eastAsia="Times New Roman" w:hAnsi="Times New Roman"/>
                <w:b w:val="false"/>
                <w:bCs w:val="false"/>
                <w:i w:val="false"/>
                <w:iCs w:val="false"/>
                <w:sz w:val="20"/>
                <w:szCs w:val="20"/>
              </w:rPr>
              <w:t xml:space="preserve">Οι μη τεχνικές δεξιότητες (NTS) αναπτύσσονται μόνο μέσω πρακτικής εφαρμογής</w:t>
            </w:r>
          </w:p>
        </w:tc>
        <w:tc>
          <w:tcPr>
            <w:tcW w:type="pct" w:w="50%"/>
          </w:tcPr>
          <w:p>
            <w:pPr>
              <w:spacing w:after="40" w:before="40"/>
              <w:jc w:val="left"/>
            </w:pPr>
            <w:r>
              <w:rPr>
                <w:rFonts w:ascii="Times New Roman" w:cs="Times New Roman" w:eastAsia="Times New Roman" w:hAnsi="Times New Roman"/>
                <w:b w:val="false"/>
                <w:bCs w:val="false"/>
                <w:i w:val="false"/>
                <w:iCs w:val="false"/>
                <w:sz w:val="20"/>
                <w:szCs w:val="20"/>
              </w:rPr>
              <w:t xml:space="preserve">Flin et al., 2008</w:t>
            </w:r>
          </w:p>
        </w:tc>
      </w:tr>
    </w:tbl>
    <w:p>
      <w:pPr>
        <w:spacing w:after="200"/>
      </w:pPr>
    </w:p>
    <w:p>
      <w:pPr>
        <w:pageBreakBefore/>
        <w:spacing w:after="240" w:before="480" w:line="360"/>
        <w:jc w:val="center"/>
      </w:pPr>
      <w:r>
        <w:rPr>
          <w:rFonts w:ascii="Times New Roman" w:cs="Times New Roman" w:eastAsia="Times New Roman" w:hAnsi="Times New Roman"/>
          <w:b/>
          <w:bCs/>
          <w:i w:val="false"/>
          <w:iCs w:val="false"/>
          <w:sz w:val="28"/>
          <w:szCs w:val="28"/>
        </w:rPr>
        <w:t xml:space="preserve">ΚΕΦΑΛΑΙΟ 6: ΔΙΕΘΝΗΣ ΣΥΝΕΡΓΑΣΙΑ, CASE STUDIES ΚΑΙ ΠΑΡΑΔΕΙΓΜΑΤΑ ΑΣΚΗΣΕΩΝ</w:t>
      </w:r>
    </w:p>
    <w:p>
      <w:pPr>
        <w:spacing w:after="200" w:before="360" w:line="360"/>
        <w:jc w:val="left"/>
      </w:pPr>
      <w:r>
        <w:rPr>
          <w:rFonts w:ascii="Times New Roman" w:cs="Times New Roman" w:eastAsia="Times New Roman" w:hAnsi="Times New Roman"/>
          <w:b/>
          <w:bCs/>
          <w:i w:val="false"/>
          <w:iCs w:val="false"/>
          <w:sz w:val="26"/>
          <w:szCs w:val="26"/>
        </w:rPr>
        <w:t xml:space="preserve">6.1 Ο Ευρωπαϊκός Μηχανισμός Πολιτικής Προστασίας (UCPM)</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Ο Μηχανισμός Πολιτικής Προστασίας της Ευρωπαϊκής Ένωσης (Union Civil Protection Mechanism — UCPM) θεσπίστηκε αρχικά το 2001 και αναθεωρήθηκε ουσιαστικά με την Απόφαση 1313/2013/ΕΕ. Σκοπός του είναι η ενίσχυση της συνεργασίας μεταξύ κρατών-μελών στην πρόληψη, ετοιμότητα και αντιμετώπιση φυσικών και ανθρωπογενών καταστροφών. Το 2019, με τη δημιουργία του rescEU, ο μηχανισμός αναβαθμίστηκε περαιτέρω με κοινά ευρωπαϊκά μέσα (πυροσβεστικά αεροπλάνα, ελικόπτερα, CBRN εξοπλισμό) (European Commission, 2021).</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Στον πυρήνα του UCPM βρίσκεται ένα εκτεταμένο πρόγραμμα εκπαίδευσης και ασκήσεων. Οι ασκήσεις MODEX (Module Exercises) αποτελούν τη ραχοκοκαλιά αυτού του προγράμματος: πρόκειται για μεγάλης κλίμακας ασκήσεις πεδίου, διάρκειας τυπικά 3-5 ημερών, στις οποίες συμμετέχουν ομάδες πολιτικής προστασίας από πολλαπλά κράτη-μέλη. Τα σενάρια καλύπτουν δασικές πυρκαγιές, σεισμούς, πλημμύρες, βιομηχανικά ατυχήματα και CBRN περιστατικά. Κάθε ομάδα αξιολογείται από διεθνείς κριτές βάσει τυποποιημένων κριτηρίων απόδοσης. Η ΕΜΑΚ του ελληνικού ΠΣ συμμετέχει τακτικά σε ασκήσεις MODEX, τόσο ως ασκούμενη ομάδα όσο και ως αξιολογήτρια.</w:t>
      </w:r>
    </w:p>
    <w:p>
      <w:pPr>
        <w:spacing w:after="200" w:before="360" w:line="360"/>
        <w:jc w:val="left"/>
      </w:pPr>
      <w:r>
        <w:rPr>
          <w:rFonts w:ascii="Times New Roman" w:cs="Times New Roman" w:eastAsia="Times New Roman" w:hAnsi="Times New Roman"/>
          <w:b/>
          <w:bCs/>
          <w:i w:val="false"/>
          <w:iCs w:val="false"/>
          <w:sz w:val="26"/>
          <w:szCs w:val="26"/>
        </w:rPr>
        <w:t xml:space="preserve">6.2 Case Study 1: Η πυρκαγιά στο Μάτι Αττικής (2018) — Διδάγματα για την εκπαίδευση</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Στις 23 Ιουλίου 2018, μια δασική πυρκαγιά στην περιοχή Κινέτας Αττικής κλιμακώθηκε ταχύτατα, αλλά η πραγματική τραγωδία εκτυλίχθηκε στο Μάτι, στην ανατολική Αττική. Θυελλώδεις άνεμοι (80-100+ χλμ./ώρα) οδήγησαν τη φωτιά μέσα σε κατοικημένη περιοχή εντός λίγων λεπτών. Ο τελικός απολογισμός ήταν 104 νεκροί — η πλέον θανατηφόρα δασική πυρκαγιά στην Ευρώπη τις τελευταίες δεκαετίες (Lagouvardos et al., 2019).</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μετέπειτα ανάλυση κατέδειξε πολλαπλές αστοχίες που σχετίζονται άμεσα με την εκπαίδευση και τη δοκιμή σχεδίων μέσω ασκήσεων. Πρώτον, τα σχέδια εκκένωσης του Δήμου δεν είχαν δοκιμαστεί σε πραγματικές ασκήσεις — με αποτέλεσμα, όταν χρειάστηκε να ενεργοποιηθούν, οι πολίτες αγνοούσαν τις διαδρομές φυγής και κατευθύνθηκαν σε αδιέξοδα. Δεύτερον, η επικοινωνία μεταξύ Πυροσβεστικού Σώματος, Αστυνομίας, Λιμενικού και Πολιτικής Προστασίας παρουσίασε σοβαρά κενά — ένα πρόβλημα που εντοπίζεται συστηματικά σε ασκήσεις πολυφορεακού συντονισμού αλλά σπάνια επιλύεται (Flin et al., 2008). Τρίτον, η ταχύτητα εξέλιξης του συμβάντος ξεπέρασε κάθε προηγούμενη εμπειρία — υπογραμμίζοντας την ανάγκη εξάσκησης σε ακραία, υψηλής ταχύτητας σενάρια.</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Το Μάτι αποτέλεσε σημείο καμπής για τον σχεδιασμό πολιτικής προστασίας στην Ελλάδα. Μετά το 2018, εντατικοποιήθηκαν οι ασκήσεις εκκένωσης σε πυρόπληκτες περιοχές, εισήχθησαν νέα πρωτόκολλα επικοινωνίας μεταξύ φορέων, και δόθηκε μεγαλύτερη έμφαση στη δοκιμή σχεδίων μέσω ρεαλιστικών ασκήσεων πεδίου.</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τραγωδία ανέδειξε επίσης τη σημασία της εκπαίδευσης σε μη τεχνικές δεξιότητες. Η απόφαση εκκένωσης, ο τρόπος ενημέρωσης του πληθυσμού, ο συντονισμός μεταξύ υπηρεσιών σε πραγματικό χρόνο — όλα αυτά αποτελούν λειτουργίες που εμπίπτουν στο πεδίο των NTS (Flin et al., 2008) και δεν μπορούν να εξασκηθούν παρά μόνο μέσω ρεαλιστικών, πολυφορεακών ασκήσεων. Αξίζει να σημειωθεί ότι, σύμφωνα με τις διεθνείς αρχές σχεδιασμού έκτακτης ανάγκης, ένα σχέδιο εκκένωσης που δεν έχει δοκιμαστεί τουλάχιστον μία φορά μέσω άσκησης πεδίου δεν μπορεί να θεωρηθεί λειτουργικό. Στο Μάτι, τα σχέδια υπήρχαν θεωρητικά αλλά δεν είχαν δοκιμαστεί ποτέ — και η πραγματικότητα αποκάλυψε ότι ήταν ανεφάρμοστα. Η διαπίστωση αυτή τεκμηριώνει με τον πλέον τραγικό τρόπο τη ρήση ότι «κανένα σχέδιο δεν επιβιώνει από την πρώτη επαφή με την πραγματικότητα, εκτός εάν έχει δοκιμαστεί πρώτα σε άσκηση».</w:t>
      </w:r>
    </w:p>
    <w:p>
      <w:pPr>
        <w:spacing w:after="200" w:before="360" w:line="360"/>
        <w:jc w:val="left"/>
      </w:pPr>
      <w:r>
        <w:rPr>
          <w:rFonts w:ascii="Times New Roman" w:cs="Times New Roman" w:eastAsia="Times New Roman" w:hAnsi="Times New Roman"/>
          <w:b/>
          <w:bCs/>
          <w:i w:val="false"/>
          <w:iCs w:val="false"/>
          <w:sz w:val="26"/>
          <w:szCs w:val="26"/>
        </w:rPr>
        <w:t xml:space="preserve">6.3 Case Study 2: Ασκήσεις MODEX και η συμμετοχή της ΕΜΑΚ</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Οι ασκήσεις MODEX (Module Exercises) αποτελούν τον κεντρικό μηχανισμό εκπαίδευσης και αξιολόγησης του Ευρωπαϊκού Μηχανισμού Πολιτικής Προστασίας. Η ΕΜΑΚ του ελληνικού ΠΣ συμμετέχει τακτικά σε ασκήσεις MODEX, οι οποίες πραγματοποιούνται σε διαφορετικές ευρωπαϊκές χώρες και περιλαμβάνουν σενάρια σεισμού, κατάρρευσης κτιρίων, πλημμυρών και CBRN περιστατικών. Τα σενάρια σχεδιάζονται σε συνεργασία με την Ευρωπαϊκή Επιτροπή (DG ECHO) και τυποποιημένοι αξιολογητές βαθμολογούν τις ομάδες βάσει κριτηρίων INSARAG.</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αξία των ασκήσεων MODEX για τους Έλληνες πυροσβέστες είναι πολύπλευρη. Αφενός, δοκιμάζεται η ικανότητα της ομάδας να λειτουργήσει σε ξένο περιβάλλον — γλωσσικά, γεωγραφικά, οργανωσιακά — προσομοιώνοντας τις πραγματικές συνθήκες μιας διεθνούς αποστολής. Αφετέρου, η αλληλεπίδραση με ομάδες άλλων χωρών φέρνει σε επαφή με διαφορετικές τεχνικές, εξοπλισμό και επιχειρησιακές νοοτροπίες. Η ΕΜΑΚ, η οποία ταξινομείται ως ομάδα βαρέος τύπου (Heavy USAR Team) σύμφωνα με τα πρότυπα INSARAG (2020), υποβάλλεται σε περιοδικές αξιολογήσεις μέσω αυτών των ασκήσεων — μια διαδικασία που λειτουργεί ταυτόχρονα ως εκπαίδευση και ως πιστοποίηση.</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Χαρακτηριστικό παράδειγμα αποτελεί η συμμετοχή της ΕΜΑΚ στον σεισμό της Τουρκίας (Φεβρουάριος 2023, 7.8 Ρίχτερ), όπου η μονάδα ανέσυρε ζωντανούς ανθρώπους από τα ερείπια — αξιοποιώντας δεξιότητες που είχαν εξασκηθεί συστηματικά στο πλαίσιο ασκήσεων MODEX και εθνικών εκπαιδεύσεων.</w:t>
      </w:r>
    </w:p>
    <w:p>
      <w:pPr>
        <w:spacing w:after="200" w:before="360" w:line="360"/>
        <w:jc w:val="left"/>
      </w:pPr>
      <w:r>
        <w:rPr>
          <w:rFonts w:ascii="Times New Roman" w:cs="Times New Roman" w:eastAsia="Times New Roman" w:hAnsi="Times New Roman"/>
          <w:b/>
          <w:bCs/>
          <w:i w:val="false"/>
          <w:iCs w:val="false"/>
          <w:sz w:val="26"/>
          <w:szCs w:val="26"/>
        </w:rPr>
        <w:t xml:space="preserve">6.4 Case Study 3: Πυρκαγιές 2021 — Ο ρόλος της εκπαίδευσης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Ο Αύγουστος 2021 αποτέλεσε μία από τις δυσκολότερες περιόδους στην ιστορία του ΠΣ. Πολλαπλές μεγάλες πυρκαγιές εκδηλώθηκαν σχεδόν ταυτόχρονα: στη βόρεια Εύβοια (&gt;50.000 εκτάρια), στη Βαρυμπόμπη Αττικής, στην αρχαία Ολυμπία, στην Ανατολική Μάνη. Η κλίμακα των πυρκαγιών ξεπέρασε τις δυνατότητες του ΠΣ, οδηγώντας στην ενεργοποίηση του Ευρωπαϊκού Μηχανισμού (UCPM) και στην αποστολή βοήθειας από περισσότερες από 20 χώρες.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εμπειρία του 2021 ανέδειξε τόσο ελλείψεις όσο και θετικά αποτελέσματα της εκπαίδευσης. Από τη θετική πλευρά: η ΕΜΑΚ λειτούργησε αποτελεσματικά σε πολλαπλά μέτωπα, η συνεργασία με ξένες δυνάμεις (Γαλλία, Ρουμανία, Ουκρανία, Αίγυπτος κ.ά.) ήταν λειτουργική χάρη στην εμπειρία από κοινές ασκήσεις, και η εκκένωση πληθυσμών πραγματοποιήθηκε αποτελεσματικότερα από ό,τι στο Μάτι — αποτέλεσμα, μεταξύ άλλων, των εκπαιδευτικών μαθημάτων που αντλήθηκαν από εκείνη την τραγωδία. Από την αρνητική πλευρά: ο ταυτόχρονος αριθμός μετώπων υπερέβη τη δυνατότητα ταυτόχρονης κάλυψης, αναδεικνύοντας την ανάγκη εξάσκησης σε σενάρια πολλαπλών ταυτόχρονων κρίσεων.</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σύγκριση μεταξύ 2018 και 2021 αποτελεί εύγλωττη απόδειξη ότι η εκπαίδευση μετράει. Στο τριετές διάστημα μεταξύ των δύο κρίσεων, το ΠΣ εντατικοποίησε τις ασκήσεις εκκένωσης, βελτίωσε τα πρωτόκολλα επικοινωνίας, ενίσχυσε τη χρήση τεχνολογίας (drones, σύστημα 112) και πραγματοποίησε κοινές ασκήσεις με φορείς πολιτικής προστασίας. Τα αποτελέσματα ήταν ορατά: παρά τη σαφώς μεγαλύτερη κλίμακα των πυρκαγιών του 2021, ο αριθμός θυμάτων ήταν δραματικά μικρότερος. Βέβαια, δεν μπορεί όλη η βελτίωση να αποδοθεί μόνο στην εκπαίδευση — σημαντικό ρόλο έπαιξαν και οι θεσμικές αλλαγές, η καλύτερη προειδοποίηση και η ταχύτερη ενεργοποίηση της διεθνούς βοήθειας. Ωστόσο, η εκπαίδευση αποτέλεσε τη βάση πάνω στην οποία δομήθηκαν αυτές οι βελτιώσεις.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Ένα ιδιαίτερα σημαντικό δίδαγμα αφορά τη σημασία της εκπαίδευσης σε σενάρια πολλαπλών ταυτόχρονων κρίσεων. Κατά τον Αύγουστο 2021, η ταυτόχρονη ύπαρξη πέντε ή περισσότερων μεγάλων πυρκαγιών σε ολόκληρη τη χώρα ανέδειξε ότι οι δυνάμεις πυρόσβεσης αδυνατούν να καλύψουν πλήρως πολλαπλά μέτωπα — ακόμα και με διεθνή βοήθεια. Αυτό σημαίνει ότι η εκπαίδευση πρέπει να περιλαμβάνει και σενάρια «υπερφόρτωσης» (overload scenarios), στα οποία οι πυροσβέστες ασκούνται στη λήψη δύσκολων αποφάσεων ιεράρχησης: ποια μέτωπα προτεραιοποιούνται, ποιες περιοχές εκκενώνονται πρώτες, πώς κατανέμονται οι περιορισμένοι πόροι. Αυτή η ικανότητα αποτελεί εκ των πραγμάτων τη δυσκολότερη να εξασκηθεί — αλλά και την πιο αναγκαία.</w:t>
      </w:r>
    </w:p>
    <w:p>
      <w:pPr>
        <w:spacing w:after="200" w:before="360" w:line="360"/>
        <w:jc w:val="left"/>
      </w:pPr>
      <w:r>
        <w:rPr>
          <w:rFonts w:ascii="Times New Roman" w:cs="Times New Roman" w:eastAsia="Times New Roman" w:hAnsi="Times New Roman"/>
          <w:b/>
          <w:bCs/>
          <w:i w:val="false"/>
          <w:iCs w:val="false"/>
          <w:sz w:val="26"/>
          <w:szCs w:val="26"/>
        </w:rPr>
        <w:t xml:space="preserve">6.5 Οφέλη και μαθήματα από τις διακρατικές ασκήσεις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συμμετοχή σε διεθνείς ασκήσεις αποφέρει οφέλη που δεν μπορούν να αναπαραχθούν σε εθνικό επίπεδο. Η ανταλλαγή τεχνογνωσίας αποτελεί ίσως το πιο αξιοσημείωτο: κάθε χώρα έχει αναπτύξει εξειδίκευση ανάλογη των κινδύνων που αντιμετωπίζει — η Πορτογαλία σε δασοπυρόσβεση, η Ισλανδία σε ηφαιστειακές κρίσεις, η Γαλλία σε αστικές πυρκαγιές πολυόροφων κτιρίων. Η εξοικείωση με διαφορετικό εξοπλισμό (π.χ. ρομποτικά πυροσβεστικά οχήματα, θερμικές κάμερες νέας γενιάς) εμπλουτίζει τη γνώση και τη δεξιοτεχνία.</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βελτίωση της διαγλωσσικής επικοινωνίας αποτελεί πρακτικό κέρδος: σε μια πραγματική διεθνή αποστολή, η ικανότητα επικοινωνίας στα αγγλικά χρησιμοποιώντας τυποποιημένη ορολογία μπορεί να αποδειχθεί κρίσιμη. Τέλος, η εξωτερική αξιολόγηση που περιλαμβάνουν οι MODEX αποτελεί ένα αντικειμενικό εργαλείο μέτρησης της ετοιμότητας, σε αντίθεση με τις εσωτερικές αξιολογήσεις που ενδεχομένως υποκρύπτουν αδυναμίες.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Ο Πίνακας 5 παρέχει μια σύνοψη βασικών διεθνών ασκήσεων στις οποίες συμμετείχε το ΠΣ.</w:t>
      </w:r>
    </w:p>
    <w:p>
      <w:pPr>
        <w:spacing w:after="120" w:before="240" w:line="360"/>
        <w:jc w:val="center"/>
      </w:pPr>
      <w:r>
        <w:rPr>
          <w:rFonts w:ascii="Times New Roman" w:cs="Times New Roman" w:eastAsia="Times New Roman" w:hAnsi="Times New Roman"/>
          <w:b/>
          <w:bCs/>
          <w:i/>
          <w:iCs/>
          <w:sz w:val="22"/>
          <w:szCs w:val="22"/>
        </w:rPr>
        <w:t xml:space="preserve">Πίνακας 5: Ενδεικτικές διεθνείς ασκήσεις με συμμετοχή ΠΣ (2018-2024)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shd w:color="D9E2F3" w:val="solid"/>
          </w:tcPr>
          <w:p>
            <w:pPr>
              <w:spacing w:after="60" w:before="60"/>
              <w:jc w:val="center"/>
            </w:pPr>
            <w:r>
              <w:rPr>
                <w:rFonts w:ascii="Times New Roman" w:cs="Times New Roman" w:eastAsia="Times New Roman" w:hAnsi="Times New Roman"/>
                <w:b/>
                <w:bCs/>
                <w:i w:val="false"/>
                <w:iCs w:val="false"/>
                <w:sz w:val="20"/>
                <w:szCs w:val="20"/>
              </w:rPr>
              <w:t xml:space="preserve">Τύπος/Πλαίσιο</w:t>
            </w:r>
          </w:p>
        </w:tc>
        <w:tc>
          <w:tcPr>
            <w:tcW w:type="pct" w:w="25%"/>
            <w:shd w:color="D9E2F3" w:val="solid"/>
          </w:tcPr>
          <w:p>
            <w:pPr>
              <w:spacing w:after="60" w:before="60"/>
              <w:jc w:val="center"/>
            </w:pPr>
            <w:r>
              <w:rPr>
                <w:rFonts w:ascii="Times New Roman" w:cs="Times New Roman" w:eastAsia="Times New Roman" w:hAnsi="Times New Roman"/>
                <w:b/>
                <w:bCs/>
                <w:i w:val="false"/>
                <w:iCs w:val="false"/>
                <w:sz w:val="20"/>
                <w:szCs w:val="20"/>
              </w:rPr>
              <w:t xml:space="preserve">Σενάριο</w:t>
            </w:r>
          </w:p>
        </w:tc>
        <w:tc>
          <w:tcPr>
            <w:tcW w:type="pct" w:w="25%"/>
            <w:shd w:color="D9E2F3" w:val="solid"/>
          </w:tcPr>
          <w:p>
            <w:pPr>
              <w:spacing w:after="60" w:before="60"/>
              <w:jc w:val="center"/>
            </w:pPr>
            <w:r>
              <w:rPr>
                <w:rFonts w:ascii="Times New Roman" w:cs="Times New Roman" w:eastAsia="Times New Roman" w:hAnsi="Times New Roman"/>
                <w:b/>
                <w:bCs/>
                <w:i w:val="false"/>
                <w:iCs w:val="false"/>
                <w:sz w:val="20"/>
                <w:szCs w:val="20"/>
              </w:rPr>
              <w:t xml:space="preserve">Συμμετέχουσα μονάδα ΠΣ</w:t>
            </w:r>
          </w:p>
        </w:tc>
        <w:tc>
          <w:tcPr>
            <w:tcW w:type="pct" w:w="25%"/>
            <w:shd w:color="D9E2F3" w:val="solid"/>
          </w:tcPr>
          <w:p>
            <w:pPr>
              <w:spacing w:after="60" w:before="60"/>
              <w:jc w:val="center"/>
            </w:pPr>
            <w:r>
              <w:rPr>
                <w:rFonts w:ascii="Times New Roman" w:cs="Times New Roman" w:eastAsia="Times New Roman" w:hAnsi="Times New Roman"/>
                <w:b/>
                <w:bCs/>
                <w:i w:val="false"/>
                <w:iCs w:val="false"/>
                <w:sz w:val="20"/>
                <w:szCs w:val="20"/>
              </w:rPr>
              <w:t xml:space="preserve">Βασικό όφελος</w:t>
            </w:r>
          </w:p>
        </w:tc>
      </w:tr>
      <w:tr>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MODEX (EU)</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Σεισμός — USAR</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ΕΜΑΚ</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Αξιολόγηση/πιστοποίηση INSARAG</w:t>
            </w:r>
          </w:p>
        </w:tc>
      </w:tr>
      <w:tr>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MODEX (EU)</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Πλημμύρα — διάσωση σε νερό</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ΕΜΑΚ</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Εξάσκηση σε ξένο περιβάλλον</w:t>
            </w:r>
          </w:p>
        </w:tc>
      </w:tr>
      <w:tr>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Κοινή ΕΕ άσκηση δασοπυρόσβεσης</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Δασική πυρκαγιά μεγάλης κλίμακας</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Δυνάμεις ΠΣ + rescEU</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Συντονισμός εναέριων-επίγειων μέσων</w:t>
            </w:r>
          </w:p>
        </w:tc>
      </w:tr>
      <w:tr>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Διμερής Ελλάδας-Κύπρου</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Δασική πυρκαγιά σε αστικοδασική ζώνη</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ΠΣ — Πυροσβεστική Κύπρου</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Διμερής συνεργασία, κοινές τακτικές</w:t>
            </w:r>
          </w:p>
        </w:tc>
      </w:tr>
      <w:tr>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NATO EADRCC</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Σεισμός μεγάλης κλίμακας</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ΕΜΑΚ</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Πολυεθνικός συντονισμός</w:t>
            </w:r>
          </w:p>
        </w:tc>
      </w:tr>
    </w:tbl>
    <w:p>
      <w:pPr>
        <w:spacing w:after="200"/>
      </w:pPr>
    </w:p>
    <w:p>
      <w:pPr>
        <w:pageBreakBefore/>
        <w:spacing w:after="240" w:before="480" w:line="360"/>
        <w:jc w:val="center"/>
      </w:pPr>
      <w:r>
        <w:rPr>
          <w:rFonts w:ascii="Times New Roman" w:cs="Times New Roman" w:eastAsia="Times New Roman" w:hAnsi="Times New Roman"/>
          <w:b/>
          <w:bCs/>
          <w:i w:val="false"/>
          <w:iCs w:val="false"/>
          <w:sz w:val="28"/>
          <w:szCs w:val="28"/>
        </w:rPr>
        <w:t xml:space="preserve">ΚΕΦΑΛΑΙΟ 7: Ο ΡΟΛΟΣ ΤΗΣ ΤΕΧΝΟΛΟΓΙΑΣ ΣΤΗΝ ΕΚΠΑΙΔΕΥΣΗ ΤΩΝ ΠΥΡΟΣΒΕΣΤΩΝ</w:t>
      </w:r>
    </w:p>
    <w:p>
      <w:pPr>
        <w:spacing w:after="200" w:before="360" w:line="360"/>
        <w:jc w:val="left"/>
      </w:pPr>
      <w:r>
        <w:rPr>
          <w:rFonts w:ascii="Times New Roman" w:cs="Times New Roman" w:eastAsia="Times New Roman" w:hAnsi="Times New Roman"/>
          <w:b/>
          <w:bCs/>
          <w:i w:val="false"/>
          <w:iCs w:val="false"/>
          <w:sz w:val="26"/>
          <w:szCs w:val="26"/>
        </w:rPr>
        <w:t xml:space="preserve">7.1 Προσομοιωτές εκπαίδευσης πυροσβεστών</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Οι προσομοιωτές πυρκαγιάς αποτελούν εξελιγμένα συστήματα που αναπαράγουν τις συνθήκες μιας πυρκαγιάς σε ελεγχόμενο περιβάλλον. Υπάρχουν δύο βασικές κατηγορίες: οι φυσικοί προσομοιωτές (flashover containers, smoke houses), που δημιουργούν πραγματικές συνθήκες θερμοκρασίας και καπνού σε ειδικά κατασκευασμένα containers, και οι ψηφιακοί προσομοιωτές, που χρησιμοποιούν λογισμικό μοντελοποίησης για την αναπαραγωγή εικονικών σεναρίων. Στις πυροσβεστικές ακαδημίες αρκετών ευρωπαϊκών χωρών (Γερμανία, Σουηδία, Ηνωμένο Βασίλειο) λειτουργούν flashover containers στα οποία οι εκπαιδευόμενοι βιώνουν τη ραγδαία εξάπλωση φωτιάς (flashover) σε ελεγχόμενο περιβάλλον — μια εμπειρία που δεν μπορεί να αποκτηθεί με κανέναν άλλο ασφαλή τρόπο.</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ανασκόπηση των Williams-Bell et al. (2015) στο περιοδικό Fire Technology κατέδειξε ότι οι προσομοιωτές βελτιώνουν κυρίως τις γνωστικές δεξιότητες (λήψη αποφάσεων, κατανόηση κατάστασης) και λιγότερο τις κινητικές — εύρημα που υποδεικνύει ότι οι προσομοιωτές δεν αντικαθιστούν αλλά συμπληρώνουν τις ασκήσεις πεδίου. Η βέλτιστη πρακτική είναι ο συνδυασμός: αρχική εξοικείωση με το σενάριο μέσω προσομοιωτή, ακολουθούμενη από πρακτική εφαρμογή σε πραγματικές συνθήκες.</w:t>
      </w:r>
    </w:p>
    <w:p>
      <w:pPr>
        <w:spacing w:after="200" w:before="360" w:line="360"/>
        <w:jc w:val="left"/>
      </w:pPr>
      <w:r>
        <w:rPr>
          <w:rFonts w:ascii="Times New Roman" w:cs="Times New Roman" w:eastAsia="Times New Roman" w:hAnsi="Times New Roman"/>
          <w:b/>
          <w:bCs/>
          <w:i w:val="false"/>
          <w:iCs w:val="false"/>
          <w:sz w:val="26"/>
          <w:szCs w:val="26"/>
        </w:rPr>
        <w:t xml:space="preserve">7.2 Εικονική (VR) και επαυξημένη πραγματικότητα (AR)</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εικονική πραγματικότητα (Virtual Reality — VR) εισάγει τον εκπαιδευόμενο σε πλήρως ψηφιακό περιβάλλον μέσω ειδικών γυαλιών (headset), ενώ η επαυξημένη πραγματικότητα (Augmented Reality — AR) επικαλύπτει ψηφιακές πληροφορίες στον πραγματικό κόσμο. Και στις δύο περιπτώσεις, ο εκπαιδευόμενος αλληλεπιδρά με ένα σενάριο που αδυνατεί να αναπαραχθεί στην πραγματικότητα χωρίς κίνδυνο.</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Στον τομέα της πυρόσβεσης, οι εφαρμογές VR επιτρέπουν: (α) εξάσκηση σε διαδικασίες εντοπισμού θυμάτων σε κτίρια γεμάτα καπνό, (β) λήψη αποφάσεων επί τακτικών σεναρίων (π.χ. αριστερή ή δεξιά αναγνώριση, επιλογή σημείου εισόδου), (γ) εκπαίδευση σε incident command — δηλαδή στη διοίκηση μιας επιχείρησης, με παρακολούθηση πολλαπλών μεταβλητών ταυτόχρονα. Η τεχνολογία AR χρησιμοποιείται κυρίως στη μετάδοση πληροφοριών σε πραγματικό χρόνο: ο πυροσβέστης βλέπει μέσω της μάσκας του θερμικές εικόνες, κατόψεις κτιρίων ή τη θέση μελών της ομάδας.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τεχνολογία VR βρίσκεται ακόμα σε στάδιο ωρίμανσης: οι περιορισμοί περιλαμβάνουν το υψηλό κόστος εξοπλισμού, την ανάγκη εξειδικευμένου λογισμικού, τη ναυτία κίνησης (motion sickness) σε ορισμένους χρήστες, και τη δυσκολία πλήρους αναπαραγωγής της θερμικής και φυσικής διάστασης μιας πυρκαγιάς (Williams-Bell et al., 2015).</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Παρά τους περιορισμούς αυτούς, η VR παρουσιάζει ένα μοναδικό πλεονέκτημα: τη δυνατότητα εξάσκησης σε σενάρια λήψης αποφάσεων (decision-making) υπό πίεση, χωρίς κίνδυνο. Ένα VR module incident command επιτρέπει σε έναν αξιωματικό να «διοικήσει» μια πυρκαγιά πολυώροφου κτιρίου, λαμβάνοντας δεκάδες αποφάσεις εντός λεπτών (ανάπτυξη δυνάμεων, διαδρομή εκκένωσης, αίτημα ενισχύσεων, αερισμός) — κάτι που στην πραγματική εκπαίδευση θα απαιτούσε πολύωρη προετοιμασία, εκατοντάδες συμμετέχοντες και σημαντικό κόστος. Η μελλοντική ενσωμάτωση τεχνητής νοημοσύνης (AI) σε VR σενάρια θα επιτρέψει τη δυναμική προσαρμογή του σεναρίου στις αποφάσεις του εκπαιδευομένου — μια τεχνολογία που προσεγγίζει τη ρεαλιστικότητα της πραγματικής επιχείρησης. Σε κάθε περίπτωση, η VR δεν αντικαθιστά αλλά συμπληρώνει τις ασκήσεις πεδίου, ιδίως στον τομέα της γνωστικής εκπαίδευσης (decision-making, situation awareness).</w:t>
      </w:r>
    </w:p>
    <w:p>
      <w:pPr>
        <w:spacing w:after="200" w:before="360" w:line="360"/>
        <w:jc w:val="left"/>
      </w:pPr>
      <w:r>
        <w:rPr>
          <w:rFonts w:ascii="Times New Roman" w:cs="Times New Roman" w:eastAsia="Times New Roman" w:hAnsi="Times New Roman"/>
          <w:b/>
          <w:bCs/>
          <w:i w:val="false"/>
          <w:iCs w:val="false"/>
          <w:sz w:val="26"/>
          <w:szCs w:val="26"/>
        </w:rPr>
        <w:t xml:space="preserve">7.3 Μη επανδρωμένα αεροσκάφη (UAS/drones)</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Τα μη επανδρωμένα αεροσκάφη (Unmanned Aerial Systems — UAS ή drones) έχουν μεταβάλει ριζικά τον τρόπο παρακολούθησης και διαχείρισης δασικών πυρκαγιών. Εξοπλισμένα με θερμικές κάμερες, κάμερες υψηλής ανάλυσης και αισθητήρες αερίων, τα drones παρέχουν εικόνα πραγματικού χρόνου στους διοικητές επιχειρήσεων — ιδιαίτερα σε περιπτώσεις όπου η ορατότητα από το έδαφος είναι περιορισμένη λόγω καπνού ή μορφολογίας εδάφους (Akhloufi et al., 2021).</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Στο πεδίο της εκπαίδευσης, τα drones αξιοποιούνται σε δύο επίπεδα. Πρώτον, ως εργαλείο εκπαίδευσης: οι πυροσβέστες μαθαίνουν τον χειρισμό UAS, την ερμηνεία θερμικών εικόνων και τη χρήση δεδομένων drone για τη λήψη τακτικών αποφάσεων. Δεύτερον, ως μέσο αξιολόγησης ασκήσεων: η εναέρια καταγραφή μιας άσκησης πεδίου παρέχει πολύτιμο υλικό για τη φάση debriefing, καθώς αποτυπώνει τις κινήσεις ολόκληρων ομάδων και εντοπίζει αδυναμίες στην ανάπτυξη δυνάμεων που δεν γίνονται αντιληπτές από το έδαφος. Στην Ελλάδα, το ΠΣ έχει εντάξει drones στις αντιπυρικές επιχειρήσεις από το 2020, και η εκπαίδευση χειριστών UAS αποτελεί πλέον μέρος των εξειδικευμένων προγραμμάτων κατάρτισης.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ανασκόπηση των Akhloufi et al. (2021) κατέγραψε τις κύριες τεχνολογικές εξελίξεις στον τομέα: θερμικές κάμερες υψηλής ανάλυσης, κάμερες πολυφασματικής απεικόνισης, αισθητήρες αερίων (CO, CO2), συστήματα αυτόνομης πλοήγησης, και λογισμικό πραγματικού χρόνου μετάδοσης εικόνας στο κέντρο επιχειρήσεων. Η ενσωμάτωση αυτών των δυνατοτήτων στην εκπαίδευση σημαίνει ότι ο μελλοντικός πυροσβέστης θα χρειάζεται να κατανοεί όχι μόνο πώς σβήνει μια φωτιά, αλλά και πώς ερμηνεύει μια θερμική εικόνα, πώς αξιοποιεί δεδομένα drone για τη λήψη τακτικών αποφάσεων, και πώς ενσωματώνει ψηφιακές πληροφορίες στον επιχειρησιακό σχεδιασμό. Αυτό αποτελεί ένα νέο εκπαιδευτικό πεδίο που απαιτεί ειδικά σχεδιασμένα προγράμματα κατάρτισης — πέραν της παραδοσιακής εκπαίδευσης σε χειρισμό σωλήνων και αντλιών.</w:t>
      </w:r>
    </w:p>
    <w:p>
      <w:pPr>
        <w:spacing w:after="200" w:before="360" w:line="360"/>
        <w:jc w:val="left"/>
      </w:pPr>
      <w:r>
        <w:rPr>
          <w:rFonts w:ascii="Times New Roman" w:cs="Times New Roman" w:eastAsia="Times New Roman" w:hAnsi="Times New Roman"/>
          <w:b/>
          <w:bCs/>
          <w:i w:val="false"/>
          <w:iCs w:val="false"/>
          <w:sz w:val="26"/>
          <w:szCs w:val="26"/>
        </w:rPr>
        <w:t xml:space="preserve">7.4 Γεωγραφικά Συστήματα Πληροφοριών (GIS)</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Τα Γεωγραφικά Συστήματα Πληροφοριών (Geographic Information Systems — GIS) αποτελούν εδώ και δεκαετίες βασικό εργαλείο στη διαχείριση δασικών πυρκαγιών. Η πρωτοποριακή εργασία των Chuvieco και Congalton (1989) τεκμηρίωσε τη δυνατότητα χαρτογράφησης δασικού κινδύνου μέσω δορυφορικών δεδομένων — μια μέθοδος που έκτοτε εξελίχθηκε σημαντικά. Σήμερα, το Ευρωπαϊκό Σύστημα Πληροφοριών για τις Δασικές Πυρκαγιές (EFFIS) παρέχει δεδομένα σε πραγματικό χρόνο για ενεργές πυρκαγιές, καμένες εκτάσεις και δείκτες κινδύνου σε ολόκληρη τη Μεσόγειο.</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Στην εκπαίδευση, τα GIS χρησιμοποιούνται για τη δημιουργία τρισδιάστατων μοντέλων εδάφους, τη χαρτογράφηση υδροληψιών και οδικού δικτύου, και τον σχεδιασμό επιχειρησιακών σεναρίων σε ασκήσεις επί χάρτου. Η ενσωμάτωση GIS σε ασκήσεις βοηθά τους μελλοντικούς αξιωματικούς να κατανοήσουν τη χωρική διάσταση των επιχειρήσεων: πού βρίσκονται οι δυνάμεις, ποια σημεία εισόδου είναι προσβάσιμα, πού υπάρχουν υδάτινα αποθέματα, και πώς η μορφολογία του εδάφους επηρεάζει την εξάπλωση της φωτιάς.</w:t>
      </w:r>
    </w:p>
    <w:p>
      <w:pPr>
        <w:spacing w:after="200" w:before="360" w:line="360"/>
        <w:jc w:val="left"/>
      </w:pPr>
      <w:r>
        <w:rPr>
          <w:rFonts w:ascii="Times New Roman" w:cs="Times New Roman" w:eastAsia="Times New Roman" w:hAnsi="Times New Roman"/>
          <w:b/>
          <w:bCs/>
          <w:i w:val="false"/>
          <w:iCs w:val="false"/>
          <w:sz w:val="26"/>
          <w:szCs w:val="26"/>
        </w:rPr>
        <w:t xml:space="preserve">7.5 Ηλεκτρονική μάθηση (e-learning) και ψηφιακές πλατφόρμες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ηλεκτρονική μάθηση (e-learning) αξιοποιείται ολοένα και περισσότερο στην πυροσβεστική εκπαίδευση, ιδιαίτερα μετά την πανδημία COVID-19 που περιόρισε τη δυνατότητα δια ζώσης εκπαιδεύσεων. Μέσω διαδικτυακών πλατφορμών, οι πυροσβέστες μπορούν να παρακολουθήσουν μαθήματα θεωρίας, να μελετήσουν τεχνικά εγχειρίδια, να παρακολουθήσουν βιντεοσκοπημένες ασκήσεις ή πραγματικά περιστατικά, και να εξεταστούν σε ερωτηματολόγια αξιολόγησης. Η μέθοδος αυτή παρέχει ευελιξία χώρου και χρόνου, και είναι ιδιαίτερα χρήσιμη για τη θεωρητική ενημέρωση σε νέες διαδικασίες, κανονισμούς ή εξοπλισμό. Η αδυναμία της — η απουσία πρακτικής εφαρμογής — σημαίνει ότι δεν μπορεί να υποκαταστήσει τις ασκήσεις πεδίου, αλλά τις συμπληρώνει.</w:t>
      </w:r>
    </w:p>
    <w:p>
      <w:pPr>
        <w:spacing w:after="200" w:before="360" w:line="360"/>
        <w:jc w:val="left"/>
      </w:pPr>
      <w:r>
        <w:rPr>
          <w:rFonts w:ascii="Times New Roman" w:cs="Times New Roman" w:eastAsia="Times New Roman" w:hAnsi="Times New Roman"/>
          <w:b/>
          <w:bCs/>
          <w:i w:val="false"/>
          <w:iCs w:val="false"/>
          <w:sz w:val="26"/>
          <w:szCs w:val="26"/>
        </w:rPr>
        <w:t xml:space="preserve">7.6 Αποτίμηση τεχνολογικών εφαρμογών στην εκπαίδευση</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τεχνολογία δεν αντικαθιστά τον ανθρώπινο παράγοντα — τον ενισχύει. Η αξία των τεχνολογικών εργαλείων στην πυροσβεστική εκπαίδευση συνοψίζεται σε τέσσερα σημεία: (α) μειώνουν τον κίνδυνο κατά την εκπαίδευση, (β) επιτρέπουν εξάσκηση σε σενάρια που δεν μπορούν να αναπαραχθούν φυσικά, (γ) παρέχουν αντικειμενικά δεδομένα αξιολόγησης (βιντεοσκόπηση, ψηφιακή καταγραφή χρόνων), και (δ) αυξάνουν τις ευκαιρίες εκπαίδευσης μειώνοντας το κόστος ανά ώρα εξάσκησης.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Ο Πίνακας 6 παρουσιάζει μια σύνοψη των τεχνολογικών εργαλείων.</w:t>
      </w:r>
    </w:p>
    <w:p>
      <w:pPr>
        <w:spacing w:after="120" w:before="240" w:line="360"/>
        <w:jc w:val="center"/>
      </w:pPr>
      <w:r>
        <w:rPr>
          <w:rFonts w:ascii="Times New Roman" w:cs="Times New Roman" w:eastAsia="Times New Roman" w:hAnsi="Times New Roman"/>
          <w:b/>
          <w:bCs/>
          <w:i/>
          <w:iCs/>
          <w:sz w:val="22"/>
          <w:szCs w:val="22"/>
        </w:rPr>
        <w:t xml:space="preserve">Πίνακας 6: Τεχνολογίες εκπαίδευσης πυροσβεστών — πλεονεκτήματα και περιορισμοί</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shd w:color="D9E2F3" w:val="solid"/>
          </w:tcPr>
          <w:p>
            <w:pPr>
              <w:spacing w:after="60" w:before="60"/>
              <w:jc w:val="center"/>
            </w:pPr>
            <w:r>
              <w:rPr>
                <w:rFonts w:ascii="Times New Roman" w:cs="Times New Roman" w:eastAsia="Times New Roman" w:hAnsi="Times New Roman"/>
                <w:b/>
                <w:bCs/>
                <w:i w:val="false"/>
                <w:iCs w:val="false"/>
                <w:sz w:val="20"/>
                <w:szCs w:val="20"/>
              </w:rPr>
              <w:t xml:space="preserve">Τεχνολογία</w:t>
            </w:r>
          </w:p>
        </w:tc>
        <w:tc>
          <w:tcPr>
            <w:tcW w:type="pct" w:w="25%"/>
            <w:shd w:color="D9E2F3" w:val="solid"/>
          </w:tcPr>
          <w:p>
            <w:pPr>
              <w:spacing w:after="60" w:before="60"/>
              <w:jc w:val="center"/>
            </w:pPr>
            <w:r>
              <w:rPr>
                <w:rFonts w:ascii="Times New Roman" w:cs="Times New Roman" w:eastAsia="Times New Roman" w:hAnsi="Times New Roman"/>
                <w:b/>
                <w:bCs/>
                <w:i w:val="false"/>
                <w:iCs w:val="false"/>
                <w:sz w:val="20"/>
                <w:szCs w:val="20"/>
              </w:rPr>
              <w:t xml:space="preserve">Πλεονεκτήματα</w:t>
            </w:r>
          </w:p>
        </w:tc>
        <w:tc>
          <w:tcPr>
            <w:tcW w:type="pct" w:w="25%"/>
            <w:shd w:color="D9E2F3" w:val="solid"/>
          </w:tcPr>
          <w:p>
            <w:pPr>
              <w:spacing w:after="60" w:before="60"/>
              <w:jc w:val="center"/>
            </w:pPr>
            <w:r>
              <w:rPr>
                <w:rFonts w:ascii="Times New Roman" w:cs="Times New Roman" w:eastAsia="Times New Roman" w:hAnsi="Times New Roman"/>
                <w:b/>
                <w:bCs/>
                <w:i w:val="false"/>
                <w:iCs w:val="false"/>
                <w:sz w:val="20"/>
                <w:szCs w:val="20"/>
              </w:rPr>
              <w:t xml:space="preserve">Περιορισμοί</w:t>
            </w:r>
          </w:p>
        </w:tc>
        <w:tc>
          <w:tcPr>
            <w:tcW w:type="pct" w:w="25%"/>
            <w:shd w:color="D9E2F3" w:val="solid"/>
          </w:tcPr>
          <w:p>
            <w:pPr>
              <w:spacing w:after="60" w:before="60"/>
              <w:jc w:val="center"/>
            </w:pPr>
            <w:r>
              <w:rPr>
                <w:rFonts w:ascii="Times New Roman" w:cs="Times New Roman" w:eastAsia="Times New Roman" w:hAnsi="Times New Roman"/>
                <w:b/>
                <w:bCs/>
                <w:i w:val="false"/>
                <w:iCs w:val="false"/>
                <w:sz w:val="20"/>
                <w:szCs w:val="20"/>
              </w:rPr>
              <w:t xml:space="preserve">Στάδιο ωρίμανσης</w:t>
            </w:r>
          </w:p>
        </w:tc>
      </w:tr>
      <w:tr>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Φυσικοί προσομοιωτές</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Ρεαλιστικότητα, θερμική εμπειρία</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Υψηλό κόστος, χώρος</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Ώριμη</w:t>
            </w:r>
          </w:p>
        </w:tc>
      </w:tr>
      <w:tr>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VR/AR</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Ασφάλεια, επαναληψιμότητα, σύνθετα σενάρια</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Κόστος, motion sickness, χωρίς φυσική πίεση</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Αναπτυσσόμενη</w:t>
            </w:r>
          </w:p>
        </w:tc>
      </w:tr>
      <w:tr>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Drones (UAS)</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Αεροφωτογράφιση, θερμική απεικόνιση, debriefing</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Νομοθετικό πλαίσιο, αυτονομία μπαταρίας</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Αναπτυσσόμενη</w:t>
            </w:r>
          </w:p>
        </w:tc>
      </w:tr>
      <w:tr>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GIS/EFFIS</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Χωρική ανάλυση, σχεδιασμός επιχειρήσεων</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Ανάγκη εξειδίκευσης, εξάρτηση από δεδομένα</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Ώριμη</w:t>
            </w:r>
          </w:p>
        </w:tc>
      </w:tr>
      <w:tr>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E-learning</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Ευελιξία, χαμηλό κόστος, εύκολη ενημέρωση</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Χωρίς πρακτική εφαρμογή, μειωμένη εμπλοκή</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Ώριμη</w:t>
            </w:r>
          </w:p>
        </w:tc>
      </w:tr>
    </w:tbl>
    <w:p>
      <w:pPr>
        <w:spacing w:after="200"/>
      </w:pPr>
    </w:p>
    <w:p>
      <w:pPr>
        <w:pageBreakBefore/>
        <w:spacing w:after="240" w:before="480" w:line="360"/>
        <w:jc w:val="center"/>
      </w:pPr>
      <w:r>
        <w:rPr>
          <w:rFonts w:ascii="Times New Roman" w:cs="Times New Roman" w:eastAsia="Times New Roman" w:hAnsi="Times New Roman"/>
          <w:b/>
          <w:bCs/>
          <w:i w:val="false"/>
          <w:iCs w:val="false"/>
          <w:sz w:val="28"/>
          <w:szCs w:val="28"/>
        </w:rPr>
        <w:t xml:space="preserve">ΚΕΦΑΛΑΙΟ 8: ΣΥΜΠΕΡΑΣΜΑΤΑ ΚΑΙ ΠΡΟΤΑΣΕΙΣ</w:t>
      </w:r>
    </w:p>
    <w:p>
      <w:pPr>
        <w:spacing w:after="200" w:before="360" w:line="360"/>
        <w:jc w:val="left"/>
      </w:pPr>
      <w:r>
        <w:rPr>
          <w:rFonts w:ascii="Times New Roman" w:cs="Times New Roman" w:eastAsia="Times New Roman" w:hAnsi="Times New Roman"/>
          <w:b/>
          <w:bCs/>
          <w:i w:val="false"/>
          <w:iCs w:val="false"/>
          <w:sz w:val="26"/>
          <w:szCs w:val="26"/>
        </w:rPr>
        <w:t xml:space="preserve">8.1 Σύνοψη ευρημάτων</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παρούσα εργασία εξέτασε τον ρόλο της εκπαίδευσης μέσω ασκήσεων στη βελτίωση της επιχειρησιακής ετοιμότητας του Πυροσβεστικού Σώματος. Τα κεντρικά ευρήματα συνοψίζονται ως εξής.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Πρώτον, η επιχειρησιακή ετοιμότητα αποτελεί πολυδιάστατη έννοια που περιλαμβάνει τη σωματική, τεχνική, ψυχολογική και οργανωσιακή διάσταση. Η εκπαίδευση μέσω ασκήσεων είναι ο μοναδικός μηχανισμός που επιδρά ταυτόχρονα σε όλες τις διαστάσεις: βελτιώνει τη φυσική κατάσταση μέσω λειτουργικής εξάσκησης, ενισχύει την τεχνική δεξιοτεχνία μέσω επανάληψης διαδικασιών, δημιουργεί ψυχολογική ανθεκτικότητα μέσω εμβολιασμού στρες, και ενδυναμώνει την ομαδική συνοχή μέσω κοινής εμπειρίας.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Δεύτερον, η αποτελεσματικότητα των ασκήσεων δεν εξαρτάται απλώς από τη συχνότητά τους, αλλά κυρίως από τον σχεδιασμό τους. Οι θεωρίες βιωματικής μάθησης (Kolb, 1984), στοχευμένης εξάσκησης (Ericsson, 2006) και ομαδικής εκπαίδευσης (Salas et al., 2008) συγκλίνουν στο εξής: η αποτελεσματική εκπαίδευση απαιτεί σαφείς στόχους, ρεαλιστικά σενάρια, σταδιακή αύξηση δυσκολίας, δομημένη ανατροφοδότηση και συστηματική επανάληψη.</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Τρίτον, τα case studies (Μάτι 2018, MODEX, πυρκαγιές 2021) τεκμηρίωσαν τη σημασία των ασκήσεων τόσο εκ των αρνητικών (η απουσία δοκιμασμένων σχεδίων εκκένωσης στο Μάτι) όσο και εκ των θετικών (η αποτελεσματική λειτουργία της ΕΜΑΚ σε διεθνείς αποστολές χάρη στη συστηματική εκπαίδευση μέσω MODEX).</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Τέταρτον, η τεχνολογία (προσομοιωτές, VR, drones, GIS) ενισχύει αλλά δεν αντικαθιστά την πρακτική εκπαίδευση. Ο βέλτιστος συνδυασμός φαίνεται να είναι η ενσωμάτωση τεχνολογικών εργαλείων εντός του υπάρχοντος εκπαιδευτικού πλαισίου, για τη δημιουργία πιο ρεαλιστικών, πιο ασφαλών και πιο μετρήσιμων ασκήσεων.</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Πέμπτον, η ελληνική εμπειρία τεκμηριώνει ότι η εκπαίδευση δεν αποτελεί πολυτέλεια αλλά αναγκαιότητα. Η σύγκριση μεταξύ της αντίδρασης στο Μάτι (2018) — όπου ελλείψεις εκπαίδευσης συνέβαλαν στην τραγωδία — και της αντίδρασης στις πυρκαγιές του 2021 — όπου η βελτιωμένη εκπαίδευση οδήγησε σε αποτελεσματικότερες εκκενώσεις — αποδεικνύει ότι η επένδυση σε ασκήσεις αποφέρει μετρήσιμα αποτελέσματα στην προστασία ανθρώπινων ζωών. Η επιχειρησιακή ετοιμότητα δεν κατασκευάζεται σε μία ημέρα — αποτελεί προϊόν μακροχρόνιας, συστηματικής, στοχευμένης εξάσκησης. Κάθε άσκηση, κάθε debriefing, κάθε κύκλος ανατροφοδότησης αποτελεί μια μικρή αλλά ουσιαστική προσθήκη στο θεμέλιο ετοιμότητας πάνω στο οποίο στηρίζεται η αποτελεσματική αντιμετώπιση κρίσεων.</w:t>
      </w:r>
    </w:p>
    <w:p>
      <w:pPr>
        <w:spacing w:after="200" w:before="360" w:line="360"/>
        <w:jc w:val="left"/>
      </w:pPr>
      <w:r>
        <w:rPr>
          <w:rFonts w:ascii="Times New Roman" w:cs="Times New Roman" w:eastAsia="Times New Roman" w:hAnsi="Times New Roman"/>
          <w:b/>
          <w:bCs/>
          <w:i w:val="false"/>
          <w:iCs w:val="false"/>
          <w:sz w:val="26"/>
          <w:szCs w:val="26"/>
        </w:rPr>
        <w:t xml:space="preserve">8.2 Προτάσεις βελτίωσης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Με βάση τα ευρήματα της εργασίας, διατυπώνονται οι ακόλουθες τεκμηριωμένες προτάσεις.</w:t>
      </w:r>
    </w:p>
    <w:p>
      <w:pPr>
        <w:spacing w:after="120" w:before="240" w:line="360"/>
        <w:jc w:val="left"/>
      </w:pPr>
      <w:r>
        <w:rPr>
          <w:rFonts w:ascii="Times New Roman" w:cs="Times New Roman" w:eastAsia="Times New Roman" w:hAnsi="Times New Roman"/>
          <w:b/>
          <w:bCs/>
          <w:i w:val="false"/>
          <w:iCs w:val="false"/>
          <w:sz w:val="24"/>
          <w:szCs w:val="24"/>
        </w:rPr>
        <w:t xml:space="preserve">8.2.1 Ενίσχυση βιωματικής μάθησης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Προτείνεται η αναβάθμιση των εκπαιδευτικών εγκαταστάσεων με σύγχρονα εκπαιδευτικά πολύγωνα (training grounds) που θα επιτρέπουν τη δημιουργία ρεαλιστικών σεναρίων: πυρκαγιά σε πολυώροφο κτίριο, τροχαίο σε σήραγγα, βιομηχανικό ατύχημα. Οι ασκήσεις θα ενσωματώνουν απρόβλεπτα στοιχεία (αλλαγή σεναρίου εν μέσω εκτέλεσης) και θα ολοκληρώνονται υποχρεωτικά με δομημένο debriefing — κάτι που σήμερα δεν εφαρμόζεται πάντα. Η αρχή της στοχευμένης εξάσκησης (Ericsson, 2006) προϋποθέτει σταδιακή αύξηση δυσκολίας και εξατομικευμένη ανατροφοδότηση.</w:t>
      </w:r>
    </w:p>
    <w:p>
      <w:pPr>
        <w:spacing w:after="120" w:before="240" w:line="360"/>
        <w:jc w:val="left"/>
      </w:pPr>
      <w:r>
        <w:rPr>
          <w:rFonts w:ascii="Times New Roman" w:cs="Times New Roman" w:eastAsia="Times New Roman" w:hAnsi="Times New Roman"/>
          <w:b/>
          <w:bCs/>
          <w:i w:val="false"/>
          <w:iCs w:val="false"/>
          <w:sz w:val="24"/>
          <w:szCs w:val="24"/>
        </w:rPr>
        <w:t xml:space="preserve">8.2.2 Αξιοποίηση νέων τεχνολογιών</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εισαγωγή VR εκπαιδευτικών modules σε κρίσιμα αντικείμενα (incident command, αναγνώριση κτιρίου σε πυρκαγιά, τακτική δασοπυρόσβεσης) μπορεί να αυξήσει τις ώρες εξάσκησης χωρίς αντίστοιχη αύξηση κόστους. Επίσης, η τυποποίηση χρήσης drones σε κάθε μεγάλη άσκηση — τόσο για παρακολούθηση σεναρίου όσο και για αξιολόγηση — θα παράσχει αντικειμενικά δεδομένα απόδοσης που σήμερα ελλείπουν.</w:t>
      </w:r>
    </w:p>
    <w:p>
      <w:pPr>
        <w:spacing w:after="120" w:before="240" w:line="360"/>
        <w:jc w:val="left"/>
      </w:pPr>
      <w:r>
        <w:rPr>
          <w:rFonts w:ascii="Times New Roman" w:cs="Times New Roman" w:eastAsia="Times New Roman" w:hAnsi="Times New Roman"/>
          <w:b/>
          <w:bCs/>
          <w:i w:val="false"/>
          <w:iCs w:val="false"/>
          <w:sz w:val="24"/>
          <w:szCs w:val="24"/>
        </w:rPr>
        <w:t xml:space="preserve">8.2.3 Ενίσχυση μη τεχνικών δεξιοτήτων</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ενσωμάτωση εκπαίδευσης σε μη τεχνικές δεξιότητες (NTS) — ηγεσία, επικοινωνία, λήψη αποφάσεων, κατανόηση κατάστασης — στις υπάρχουσες ασκήσεις αποτελεί αναγκαιότητα. Τα μοντέλα CRM (Crew Resource Management) που χρησιμοποιούνται στην αεροπορία μπορούν να προσαρμοστούν στο πυροσβεστικό περιβάλλον. Οι αξιολογήσεις ασκήσεων θα πρέπει να περιλαμβάνουν, πέραν των τεχνικών δεικτών, και δείκτες NTS (Flin et al., 2008).</w:t>
      </w:r>
    </w:p>
    <w:p>
      <w:pPr>
        <w:spacing w:after="120" w:before="240" w:line="360"/>
        <w:jc w:val="left"/>
      </w:pPr>
      <w:r>
        <w:rPr>
          <w:rFonts w:ascii="Times New Roman" w:cs="Times New Roman" w:eastAsia="Times New Roman" w:hAnsi="Times New Roman"/>
          <w:b/>
          <w:bCs/>
          <w:i w:val="false"/>
          <w:iCs w:val="false"/>
          <w:sz w:val="24"/>
          <w:szCs w:val="24"/>
        </w:rPr>
        <w:t xml:space="preserve">8.2.4 Διεύρυνση διεθνούς συνεργασίας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αύξηση της συμμετοχής σε ασκήσεις MODEX, καθώς και η ανάπτυξη διμερών εκπαιδευτικών προγραμμάτων με γειτονικές χώρες (Κύπρος, Ιταλία, Βουλγαρία), θα ενισχύσει τη διαλειτουργικότητα. Η ανταλλαγή αξιωματικών σε βραχεία εκπαιδευτικά προγράμματα (exchange programs) στο πρότυπο άλλων σωμάτων ασφαλείας αποτελεί ακόμα μια δυνατότητα.</w:t>
      </w:r>
    </w:p>
    <w:p>
      <w:pPr>
        <w:spacing w:after="120" w:before="240" w:line="360"/>
        <w:jc w:val="left"/>
      </w:pPr>
      <w:r>
        <w:rPr>
          <w:rFonts w:ascii="Times New Roman" w:cs="Times New Roman" w:eastAsia="Times New Roman" w:hAnsi="Times New Roman"/>
          <w:b/>
          <w:bCs/>
          <w:i w:val="false"/>
          <w:iCs w:val="false"/>
          <w:sz w:val="24"/>
          <w:szCs w:val="24"/>
        </w:rPr>
        <w:t xml:space="preserve">8.2.5 Ψυχολογική υποστήριξη προσωπικού</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ενσωμάτωση ψυχολογικής υποστήριξης στο εκπαιδευτικό πρόγραμμα — και όχι μόνο ως μεταγενέστερη παρέμβαση μετά από τραυματικό γεγονός — αποτελεί βέλτιστη πρακτική. Η εκπαίδευση στη διαχείριση στρες, η εξάσκηση σε τεχνικές εμβολιασμού στρες εντός ρεαλιστικών ασκήσεων, και η δημιουργία μηχανισμών υποστήριξης ομοτίμων (peer support) μπορούν να μειώσουν τον κίνδυνο PTSD και επαγγελματικής εξουθένωσης (Kleim &amp; Westphal, 2011· Jahnke et al., 2016).</w:t>
      </w:r>
    </w:p>
    <w:p>
      <w:pPr>
        <w:spacing w:after="200" w:before="360" w:line="360"/>
        <w:jc w:val="left"/>
      </w:pPr>
      <w:r>
        <w:rPr>
          <w:rFonts w:ascii="Times New Roman" w:cs="Times New Roman" w:eastAsia="Times New Roman" w:hAnsi="Times New Roman"/>
          <w:b/>
          <w:bCs/>
          <w:i w:val="false"/>
          <w:iCs w:val="false"/>
          <w:sz w:val="26"/>
          <w:szCs w:val="26"/>
        </w:rPr>
        <w:t xml:space="preserve">8.3 Περιορισμοί της εργασίας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παρούσα εργασία στηρίζεται αποκλειστικά σε βιβλιογραφική ανασκόπηση και ανάλυση δευτερογενών πηγών. Δεν περιλαμβάνει πρωτογενή εμπειρική έρευνα (ερωτηματολόγια, συνεντεύξεις, παρατήρηση ασκήσεων). Κατά συνέπεια, τα συμπεράσματα βασίζονται στη σύνθεση υπαρχόντων ευρημάτων και όχι στη συλλογή νέων δεδομένων. Επιπλέον, η πρόσβαση σε εσωτερικά δεδομένα του ΠΣ (αριθμός ασκήσεων ανά έτος, αξιολογήσεις, δείκτες ετοιμότητας) ήταν περιορισμένη, γεγονός που δυσχεραίνει τη ποσοτική ανάλυση.</w:t>
      </w:r>
    </w:p>
    <w:p>
      <w:pPr>
        <w:spacing w:after="200" w:before="360" w:line="360"/>
        <w:jc w:val="left"/>
      </w:pPr>
      <w:r>
        <w:rPr>
          <w:rFonts w:ascii="Times New Roman" w:cs="Times New Roman" w:eastAsia="Times New Roman" w:hAnsi="Times New Roman"/>
          <w:b/>
          <w:bCs/>
          <w:i w:val="false"/>
          <w:iCs w:val="false"/>
          <w:sz w:val="26"/>
          <w:szCs w:val="26"/>
        </w:rPr>
        <w:t xml:space="preserve">8.4 Προτάσεις για μελλοντική έρευνα</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Μελλοντική έρευνα θα μπορούσε να περιλαμβάνει: (α) εμπειρική μελέτη με ερωτηματολόγιο σε πυροσβέστες για τη διερεύνηση της αντίληψής τους ως προς τη σχέση ασκήσεων-ετοιμότητας, (β) συγκριτική μελέτη μεταξύ μονάδων με υψηλή και χαμηλή συχνότητα ασκήσεων, ως προς δείκτες ετοιμότητας, (γ) αξιολόγηση της αποτελεσματικότητας συγκεκριμένων τεχνολογικών εργαλείων (VR, drones) στην εκπαίδευση, μέσω πειραματικού σχεδιασμού, και (δ) ανάλυση πραγματικών περιστατικών με τη μέθοδο root cause analysis, για τον εντοπισμό εκπαιδευτικών κενών που αποκαλύφθηκαν εν μέσω κρίσεων.</w:t>
      </w:r>
    </w:p>
    <w:p>
      <w:pPr>
        <w:pageBreakBefore/>
        <w:spacing w:after="240" w:before="480" w:line="360"/>
        <w:jc w:val="center"/>
      </w:pPr>
      <w:r>
        <w:rPr>
          <w:rFonts w:ascii="Times New Roman" w:cs="Times New Roman" w:eastAsia="Times New Roman" w:hAnsi="Times New Roman"/>
          <w:b/>
          <w:bCs/>
          <w:i w:val="false"/>
          <w:iCs w:val="false"/>
          <w:sz w:val="28"/>
          <w:szCs w:val="28"/>
        </w:rPr>
        <w:t xml:space="preserve">ΒΙΒΛΙΟΓΡΑΦΙΑ</w:t>
      </w:r>
    </w:p>
    <w:p>
      <w:pPr>
        <w:spacing w:after="120" w:line="300"/>
        <w:ind w:left="720" w:hanging="720"/>
        <w:jc w:val="both"/>
      </w:pPr>
      <w:r>
        <w:rPr>
          <w:rFonts w:ascii="Times New Roman" w:cs="Times New Roman" w:eastAsia="Times New Roman" w:hAnsi="Times New Roman"/>
          <w:b w:val="false"/>
          <w:bCs w:val="false"/>
          <w:i w:val="false"/>
          <w:iCs w:val="false"/>
          <w:sz w:val="22"/>
          <w:szCs w:val="22"/>
        </w:rPr>
        <w:t xml:space="preserve">Akhloufi, M. A., Couturier, A., &amp; Castro, N. A. (2021). Unmanned aerial vehicles for wildfire monitoring and management: State of the art and future trends. Drones, 5(1), Article 26.</w:t>
      </w:r>
    </w:p>
    <w:p>
      <w:pPr>
        <w:spacing w:after="120" w:line="300"/>
        <w:ind w:left="720" w:hanging="720"/>
        <w:jc w:val="both"/>
      </w:pPr>
      <w:r>
        <w:rPr>
          <w:rFonts w:ascii="Times New Roman" w:cs="Times New Roman" w:eastAsia="Times New Roman" w:hAnsi="Times New Roman"/>
          <w:b w:val="false"/>
          <w:bCs w:val="false"/>
          <w:i w:val="false"/>
          <w:iCs w:val="false"/>
          <w:sz w:val="22"/>
          <w:szCs w:val="22"/>
        </w:rPr>
        <w:t xml:space="preserve">Burke, C. S., Stagl, K. C., Salas, E., Pierce, L., &amp; Kendall, D. (2006). Understanding team adaptation: A conceptual analysis and model. Journal of Applied Psychology, 91(6), 1189-1207.</w:t>
      </w:r>
    </w:p>
    <w:p>
      <w:pPr>
        <w:spacing w:after="120" w:line="300"/>
        <w:ind w:left="720" w:hanging="720"/>
        <w:jc w:val="both"/>
      </w:pPr>
      <w:r>
        <w:rPr>
          <w:rFonts w:ascii="Times New Roman" w:cs="Times New Roman" w:eastAsia="Times New Roman" w:hAnsi="Times New Roman"/>
          <w:b w:val="false"/>
          <w:bCs w:val="false"/>
          <w:i w:val="false"/>
          <w:iCs w:val="false"/>
          <w:sz w:val="22"/>
          <w:szCs w:val="22"/>
        </w:rPr>
        <w:t xml:space="preserve">Chuvieco, E., &amp; Congalton, R. G. (1989). Application of remote sensing and geographic information systems to forest fire hazard mapping. Remote Sensing of Environment, 29(2), 147-159.</w:t>
      </w:r>
    </w:p>
    <w:p>
      <w:pPr>
        <w:spacing w:after="120" w:line="300"/>
        <w:ind w:left="720" w:hanging="720"/>
        <w:jc w:val="both"/>
      </w:pPr>
      <w:r>
        <w:rPr>
          <w:rFonts w:ascii="Times New Roman" w:cs="Times New Roman" w:eastAsia="Times New Roman" w:hAnsi="Times New Roman"/>
          <w:b w:val="false"/>
          <w:bCs w:val="false"/>
          <w:i w:val="false"/>
          <w:iCs w:val="false"/>
          <w:sz w:val="22"/>
          <w:szCs w:val="22"/>
        </w:rPr>
        <w:t xml:space="preserve">Ericsson, K. A. (2006). The influence of experience and deliberate practice on the development of superior expert performance. In K. A. Ericsson et al. (Eds.), The Cambridge handbook of expertise and expert performance (pp. 683-703). Cambridge University Press.</w:t>
      </w:r>
    </w:p>
    <w:p>
      <w:pPr>
        <w:spacing w:after="120" w:line="300"/>
        <w:ind w:left="720" w:hanging="720"/>
        <w:jc w:val="both"/>
      </w:pPr>
      <w:r>
        <w:rPr>
          <w:rFonts w:ascii="Times New Roman" w:cs="Times New Roman" w:eastAsia="Times New Roman" w:hAnsi="Times New Roman"/>
          <w:b w:val="false"/>
          <w:bCs w:val="false"/>
          <w:i w:val="false"/>
          <w:iCs w:val="false"/>
          <w:sz w:val="22"/>
          <w:szCs w:val="22"/>
        </w:rPr>
        <w:t xml:space="preserve">Ericsson, K. A., Krampe, R. T., &amp; Tesch-Römer, C. (1993). The role of deliberate practice in the acquisition of expert performance. Psychological Review, 100(3), 363-406.</w:t>
      </w:r>
    </w:p>
    <w:p>
      <w:pPr>
        <w:spacing w:after="120" w:line="300"/>
        <w:ind w:left="720" w:hanging="720"/>
        <w:jc w:val="both"/>
      </w:pPr>
      <w:r>
        <w:rPr>
          <w:rFonts w:ascii="Times New Roman" w:cs="Times New Roman" w:eastAsia="Times New Roman" w:hAnsi="Times New Roman"/>
          <w:b w:val="false"/>
          <w:bCs w:val="false"/>
          <w:i w:val="false"/>
          <w:iCs w:val="false"/>
          <w:sz w:val="22"/>
          <w:szCs w:val="22"/>
        </w:rPr>
        <w:t xml:space="preserve">European Commission. (2021). Union Civil Protection Mechanism. DG ECHO.</w:t>
      </w:r>
    </w:p>
    <w:p>
      <w:pPr>
        <w:spacing w:after="120" w:line="300"/>
        <w:ind w:left="720" w:hanging="720"/>
        <w:jc w:val="both"/>
      </w:pPr>
      <w:r>
        <w:rPr>
          <w:rFonts w:ascii="Times New Roman" w:cs="Times New Roman" w:eastAsia="Times New Roman" w:hAnsi="Times New Roman"/>
          <w:b w:val="false"/>
          <w:bCs w:val="false"/>
          <w:i w:val="false"/>
          <w:iCs w:val="false"/>
          <w:sz w:val="22"/>
          <w:szCs w:val="22"/>
        </w:rPr>
        <w:t xml:space="preserve">European Commission. (2020). Overview of natural and man-made disaster risks the European Union may face: 2020 edition. Publications Office of the EU.</w:t>
      </w:r>
    </w:p>
    <w:p>
      <w:pPr>
        <w:spacing w:after="120" w:line="300"/>
        <w:ind w:left="720" w:hanging="720"/>
        <w:jc w:val="both"/>
      </w:pPr>
      <w:r>
        <w:rPr>
          <w:rFonts w:ascii="Times New Roman" w:cs="Times New Roman" w:eastAsia="Times New Roman" w:hAnsi="Times New Roman"/>
          <w:b w:val="false"/>
          <w:bCs w:val="false"/>
          <w:i w:val="false"/>
          <w:iCs w:val="false"/>
          <w:sz w:val="22"/>
          <w:szCs w:val="22"/>
        </w:rPr>
        <w:t xml:space="preserve">Flin, R., O'Connor, P., &amp; Crichton, M. (2008). Safety at the sharp end: A guide to non-technical skills. Ashgate Publishing.</w:t>
      </w:r>
    </w:p>
    <w:p>
      <w:pPr>
        <w:spacing w:after="120" w:line="300"/>
        <w:ind w:left="720" w:hanging="720"/>
        <w:jc w:val="both"/>
      </w:pPr>
      <w:r>
        <w:rPr>
          <w:rFonts w:ascii="Times New Roman" w:cs="Times New Roman" w:eastAsia="Times New Roman" w:hAnsi="Times New Roman"/>
          <w:b w:val="false"/>
          <w:bCs w:val="false"/>
          <w:i w:val="false"/>
          <w:iCs w:val="false"/>
          <w:sz w:val="22"/>
          <w:szCs w:val="22"/>
        </w:rPr>
        <w:t xml:space="preserve">Grossman, D., &amp; Christensen, L. W. (2008). On combat: The psychology and physiology of deadly conflict in war and in peace (3rd ed.). Warrior Science Publications.</w:t>
      </w:r>
    </w:p>
    <w:p>
      <w:pPr>
        <w:spacing w:after="120" w:line="300"/>
        <w:ind w:left="720" w:hanging="720"/>
        <w:jc w:val="both"/>
      </w:pPr>
      <w:r>
        <w:rPr>
          <w:rFonts w:ascii="Times New Roman" w:cs="Times New Roman" w:eastAsia="Times New Roman" w:hAnsi="Times New Roman"/>
          <w:b w:val="false"/>
          <w:bCs w:val="false"/>
          <w:i w:val="false"/>
          <w:iCs w:val="false"/>
          <w:sz w:val="22"/>
          <w:szCs w:val="22"/>
        </w:rPr>
        <w:t xml:space="preserve">INSARAG. (2020). INSARAG guidelines (Vols. I-III). UN OCHA.</w:t>
      </w:r>
    </w:p>
    <w:p>
      <w:pPr>
        <w:spacing w:after="120" w:line="300"/>
        <w:ind w:left="720" w:hanging="720"/>
        <w:jc w:val="both"/>
      </w:pPr>
      <w:r>
        <w:rPr>
          <w:rFonts w:ascii="Times New Roman" w:cs="Times New Roman" w:eastAsia="Times New Roman" w:hAnsi="Times New Roman"/>
          <w:b w:val="false"/>
          <w:bCs w:val="false"/>
          <w:i w:val="false"/>
          <w:iCs w:val="false"/>
          <w:sz w:val="22"/>
          <w:szCs w:val="22"/>
        </w:rPr>
        <w:t xml:space="preserve">Jahnke, S. A., Poston, W. S. C., Haddock, C. K., &amp; Murphy, B. (2016). Firefighting and mental health: Experiences of repeated exposure to trauma. Work, 53(4), 737-744.</w:t>
      </w:r>
    </w:p>
    <w:p>
      <w:pPr>
        <w:spacing w:after="120" w:line="300"/>
        <w:ind w:left="720" w:hanging="720"/>
        <w:jc w:val="both"/>
      </w:pPr>
      <w:r>
        <w:rPr>
          <w:rFonts w:ascii="Times New Roman" w:cs="Times New Roman" w:eastAsia="Times New Roman" w:hAnsi="Times New Roman"/>
          <w:b w:val="false"/>
          <w:bCs w:val="false"/>
          <w:i w:val="false"/>
          <w:iCs w:val="false"/>
          <w:sz w:val="22"/>
          <w:szCs w:val="22"/>
        </w:rPr>
        <w:t xml:space="preserve">Kleim, B., &amp; Westphal, M. (2011). Mental health in first responders: A review and recommendation for prevention and intervention strategies. European Journal of Psychotraumatology, 2(1), Article 7585.</w:t>
      </w:r>
    </w:p>
    <w:p>
      <w:pPr>
        <w:spacing w:after="120" w:line="300"/>
        <w:ind w:left="720" w:hanging="720"/>
        <w:jc w:val="both"/>
      </w:pPr>
      <w:r>
        <w:rPr>
          <w:rFonts w:ascii="Times New Roman" w:cs="Times New Roman" w:eastAsia="Times New Roman" w:hAnsi="Times New Roman"/>
          <w:b w:val="false"/>
          <w:bCs w:val="false"/>
          <w:i w:val="false"/>
          <w:iCs w:val="false"/>
          <w:sz w:val="22"/>
          <w:szCs w:val="22"/>
        </w:rPr>
        <w:t xml:space="preserve">Kolb, D. A. (1984). Experiential learning: Experience as the source of learning and development. Prentice-Hall.</w:t>
      </w:r>
    </w:p>
    <w:p>
      <w:pPr>
        <w:spacing w:after="120" w:line="300"/>
        <w:ind w:left="720" w:hanging="720"/>
        <w:jc w:val="both"/>
      </w:pPr>
      <w:r>
        <w:rPr>
          <w:rFonts w:ascii="Times New Roman" w:cs="Times New Roman" w:eastAsia="Times New Roman" w:hAnsi="Times New Roman"/>
          <w:b w:val="false"/>
          <w:bCs w:val="false"/>
          <w:i w:val="false"/>
          <w:iCs w:val="false"/>
          <w:sz w:val="22"/>
          <w:szCs w:val="22"/>
        </w:rPr>
        <w:t xml:space="preserve">Kolb, D. A., Boyatzis, R. E., &amp; Mainemelis, C. (2001). Experiential learning theory: Previous research and new directions. In R. J. Sternberg &amp; L. Zhang (Eds.), Perspectives on thinking, learning, and cognitive styles (pp. 227-247). Lawrence Erlbaum Associates.</w:t>
      </w:r>
    </w:p>
    <w:p>
      <w:pPr>
        <w:spacing w:after="120" w:line="300"/>
        <w:ind w:left="720" w:hanging="720"/>
        <w:jc w:val="both"/>
      </w:pPr>
      <w:r>
        <w:rPr>
          <w:rFonts w:ascii="Times New Roman" w:cs="Times New Roman" w:eastAsia="Times New Roman" w:hAnsi="Times New Roman"/>
          <w:b w:val="false"/>
          <w:bCs w:val="false"/>
          <w:i w:val="false"/>
          <w:iCs w:val="false"/>
          <w:sz w:val="22"/>
          <w:szCs w:val="22"/>
        </w:rPr>
        <w:t xml:space="preserve">Lagouvardos, K., Kotroni, V., Giannaros, T. M., &amp; Dafis, S. (2019). Meteorological conditions conducive to the rapid spread of the deadly wildfire in eastern Attica, Greece. Bulletin of the American Meteorological Society, 100(11), 2137-2145.</w:t>
      </w:r>
    </w:p>
    <w:p>
      <w:pPr>
        <w:spacing w:after="120" w:line="300"/>
        <w:ind w:left="720" w:hanging="720"/>
        <w:jc w:val="both"/>
      </w:pPr>
      <w:r>
        <w:rPr>
          <w:rFonts w:ascii="Times New Roman" w:cs="Times New Roman" w:eastAsia="Times New Roman" w:hAnsi="Times New Roman"/>
          <w:b w:val="false"/>
          <w:bCs w:val="false"/>
          <w:i w:val="false"/>
          <w:iCs w:val="false"/>
          <w:sz w:val="22"/>
          <w:szCs w:val="22"/>
        </w:rPr>
        <w:t xml:space="preserve">Meichenbaum, D. (2007). Stress inoculation training: A preventative and treatment approach. In P. M. Lehrer et al. (Eds.), Principles and practice of stress management (3rd ed., pp. 497-516). Guilford Press.</w:t>
      </w:r>
    </w:p>
    <w:p>
      <w:pPr>
        <w:spacing w:after="120" w:line="300"/>
        <w:ind w:left="720" w:hanging="720"/>
        <w:jc w:val="both"/>
      </w:pPr>
      <w:r>
        <w:rPr>
          <w:rFonts w:ascii="Times New Roman" w:cs="Times New Roman" w:eastAsia="Times New Roman" w:hAnsi="Times New Roman"/>
          <w:b w:val="false"/>
          <w:bCs w:val="false"/>
          <w:i w:val="false"/>
          <w:iCs w:val="false"/>
          <w:sz w:val="22"/>
          <w:szCs w:val="22"/>
        </w:rPr>
        <w:t xml:space="preserve">Salas, E., Burke, C. S., &amp; Stagl, K. C. (2004). Developing teams and team leaders. In D. V. Day et al. (Eds.), Leader development for transforming organizations (pp. 325-355). Lawrence Erlbaum Associates.</w:t>
      </w:r>
    </w:p>
    <w:p>
      <w:pPr>
        <w:spacing w:after="120" w:line="300"/>
        <w:ind w:left="720" w:hanging="720"/>
        <w:jc w:val="both"/>
      </w:pPr>
      <w:r>
        <w:rPr>
          <w:rFonts w:ascii="Times New Roman" w:cs="Times New Roman" w:eastAsia="Times New Roman" w:hAnsi="Times New Roman"/>
          <w:b w:val="false"/>
          <w:bCs w:val="false"/>
          <w:i w:val="false"/>
          <w:iCs w:val="false"/>
          <w:sz w:val="22"/>
          <w:szCs w:val="22"/>
        </w:rPr>
        <w:t xml:space="preserve">Salas, E., DiazGranados, D., Klein, C., Burke, C. S., et al. (2008). Does team training improve team performance? A meta-analysis. Human Factors, 50(6), 903-933.</w:t>
      </w:r>
    </w:p>
    <w:p>
      <w:pPr>
        <w:spacing w:after="120" w:line="300"/>
        <w:ind w:left="720" w:hanging="720"/>
        <w:jc w:val="both"/>
      </w:pPr>
      <w:r>
        <w:rPr>
          <w:rFonts w:ascii="Times New Roman" w:cs="Times New Roman" w:eastAsia="Times New Roman" w:hAnsi="Times New Roman"/>
          <w:b w:val="false"/>
          <w:bCs w:val="false"/>
          <w:i w:val="false"/>
          <w:iCs w:val="false"/>
          <w:sz w:val="22"/>
          <w:szCs w:val="22"/>
        </w:rPr>
        <w:t xml:space="preserve">Salas, E., Tannenbaum, S. I., Kraiger, K., &amp; Smith-Jentsch, K. A. (2012). The science of training and development in organizations: What matters in practice. Psychological Science in the Public Interest, 13(2), 74-101.</w:t>
      </w:r>
    </w:p>
    <w:p>
      <w:pPr>
        <w:spacing w:after="120" w:line="300"/>
        <w:ind w:left="720" w:hanging="720"/>
        <w:jc w:val="both"/>
      </w:pPr>
      <w:r>
        <w:rPr>
          <w:rFonts w:ascii="Times New Roman" w:cs="Times New Roman" w:eastAsia="Times New Roman" w:hAnsi="Times New Roman"/>
          <w:b w:val="false"/>
          <w:bCs w:val="false"/>
          <w:i w:val="false"/>
          <w:iCs w:val="false"/>
          <w:sz w:val="22"/>
          <w:szCs w:val="22"/>
        </w:rPr>
        <w:t xml:space="preserve">Smith, D. L., Haller, J. M., Korre, M., et al. (2019). The relation of emergency duties to cardiac death among US firefighters. American Journal of Cardiology, 123(5), 736-741.</w:t>
      </w:r>
    </w:p>
    <w:p>
      <w:pPr>
        <w:spacing w:after="120" w:line="300"/>
        <w:ind w:left="720" w:hanging="720"/>
        <w:jc w:val="both"/>
      </w:pPr>
      <w:r>
        <w:rPr>
          <w:rFonts w:ascii="Times New Roman" w:cs="Times New Roman" w:eastAsia="Times New Roman" w:hAnsi="Times New Roman"/>
          <w:b w:val="false"/>
          <w:bCs w:val="false"/>
          <w:i w:val="false"/>
          <w:iCs w:val="false"/>
          <w:sz w:val="22"/>
          <w:szCs w:val="22"/>
        </w:rPr>
        <w:t xml:space="preserve">Soteriades, E. S., Smith, D. L., Tsismenakis, A. J., et al. (2011). Cardiovascular disease in US firefighters: A systematic review. Cardiology in Review, 19(4), 202-215.</w:t>
      </w:r>
    </w:p>
    <w:p>
      <w:pPr>
        <w:spacing w:after="120" w:line="300"/>
        <w:ind w:left="720" w:hanging="720"/>
        <w:jc w:val="both"/>
      </w:pPr>
      <w:r>
        <w:rPr>
          <w:rFonts w:ascii="Times New Roman" w:cs="Times New Roman" w:eastAsia="Times New Roman" w:hAnsi="Times New Roman"/>
          <w:b w:val="false"/>
          <w:bCs w:val="false"/>
          <w:i w:val="false"/>
          <w:iCs w:val="false"/>
          <w:sz w:val="22"/>
          <w:szCs w:val="22"/>
        </w:rPr>
        <w:t xml:space="preserve">Williams-Bell, F. M., Kapralos, B., Hogue, A., Murphy, B. M., &amp; Weckman, E. J. (2015). Using serious games and virtual simulation for training in the fire service: A review. Fire Technology, 51(3), 553-584.</w:t>
      </w:r>
    </w:p>
    <w:p>
      <w:pPr>
        <w:spacing w:after="120" w:line="300"/>
        <w:ind w:left="720" w:hanging="720"/>
        <w:jc w:val="both"/>
      </w:pPr>
      <w:r>
        <w:rPr>
          <w:rFonts w:ascii="Times New Roman" w:cs="Times New Roman" w:eastAsia="Times New Roman" w:hAnsi="Times New Roman"/>
          <w:b w:val="false"/>
          <w:bCs w:val="false"/>
          <w:i w:val="false"/>
          <w:iCs w:val="false"/>
          <w:sz w:val="22"/>
          <w:szCs w:val="22"/>
        </w:rPr>
        <w:t xml:space="preserve">Γενική Γραμματεία Πολιτικής Προστασίας. (2021). Γενικό Σχέδιο Αντιμετώπισης Εκτάκτων Αναγκών εξαιτίας Δασικών Πυρκαγιών (ΙΟΛΑΟΣ 2). ΥΚΚΠΠ.</w:t>
      </w:r>
    </w:p>
    <w:p>
      <w:pPr>
        <w:spacing w:after="120" w:line="300"/>
        <w:ind w:left="720" w:hanging="720"/>
        <w:jc w:val="both"/>
      </w:pPr>
      <w:r>
        <w:rPr>
          <w:rFonts w:ascii="Times New Roman" w:cs="Times New Roman" w:eastAsia="Times New Roman" w:hAnsi="Times New Roman"/>
          <w:b w:val="false"/>
          <w:bCs w:val="false"/>
          <w:i w:val="false"/>
          <w:iCs w:val="false"/>
          <w:sz w:val="22"/>
          <w:szCs w:val="22"/>
        </w:rPr>
        <w:t xml:space="preserve">Πυροσβεστικό Σώμα Ελλάδας. (n.d.). Εκπαιδευτικές δραστηριότητες και επιχειρησιακή ετοιμότητα. https://www.fireservice.gr</w:t>
      </w:r>
    </w:p>
    <w:p>
      <w:pPr>
        <w:spacing w:after="120" w:line="300"/>
        <w:ind w:left="720" w:hanging="720"/>
        <w:jc w:val="both"/>
      </w:pPr>
      <w:r>
        <w:rPr>
          <w:rFonts w:ascii="Times New Roman" w:cs="Times New Roman" w:eastAsia="Times New Roman" w:hAnsi="Times New Roman"/>
          <w:b w:val="false"/>
          <w:bCs w:val="false"/>
          <w:i w:val="false"/>
          <w:iCs w:val="false"/>
          <w:sz w:val="22"/>
          <w:szCs w:val="22"/>
        </w:rPr>
        <w:t xml:space="preserve">Υπουργείο Κλιματικής Κρίσης και Πολιτικής Προστασίας. (2022). Έκθεση αντιπυρικής περιόδου 2021. Αθήνα.</w:t>
      </w:r>
    </w:p>
    <w:p>
      <w:pPr>
        <w:spacing w:after="120" w:line="300"/>
        <w:ind w:left="720" w:hanging="720"/>
        <w:jc w:val="both"/>
      </w:pPr>
      <w:r>
        <w:rPr>
          <w:rFonts w:ascii="Times New Roman" w:cs="Times New Roman" w:eastAsia="Times New Roman" w:hAnsi="Times New Roman"/>
          <w:b w:val="false"/>
          <w:bCs w:val="false"/>
          <w:i w:val="false"/>
          <w:iCs w:val="false"/>
          <w:sz w:val="22"/>
          <w:szCs w:val="22"/>
        </w:rPr>
        <w:t xml:space="preserve">EFFIS. (n.d.). Statistics portal. European Commission, JRC. https://effis.jrc.ec.europa.eu/</w:t>
      </w:r>
    </w:p>
    <w:sectPr>
      <w:headerReference w:type="default" r:id="rId7"/>
      <w:footerReference w:type="default" r:id="rId8"/>
      <w:pgSz w:w="11906" w:h="16838" w:orient="portrait"/>
      <w:pgMar w:top="1137" w:right="1137" w:bottom="1137" w:left="141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sz w:val="18"/>
        <w:szCs w:val="18"/>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2026-03-31T16:19:55.823Z</dcterms:created>
  <dcterms:modified xsi:type="dcterms:W3CDTF">2026-03-31T16:19:55.823Z</dcterms:modified>
</cp:coreProperties>
</file>

<file path=docProps/custom.xml><?xml version="1.0" encoding="utf-8"?>
<Properties xmlns="http://schemas.openxmlformats.org/officeDocument/2006/custom-properties" xmlns:vt="http://schemas.openxmlformats.org/officeDocument/2006/docPropsVTypes"/>
</file>