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Times New Roman" w:cs="Times New Roman" w:eastAsia="Times New Roman" w:hAnsi="Times New Roman"/>
          <w:b/>
          <w:bCs/>
          <w:i w:val="false"/>
          <w:iCs w:val="false"/>
          <w:sz w:val="28"/>
          <w:szCs w:val="28"/>
        </w:rPr>
        <w:t xml:space="preserve">[ΠΑΝΕΠΙΣΤΗΜΙΟ]</w:t>
      </w:r>
    </w:p>
    <w:p>
      <w:pPr>
        <w:spacing w:after="1200"/>
        <w:jc w:val="center"/>
      </w:pPr>
      <w:r>
        <w:rPr>
          <w:rFonts w:ascii="Times New Roman" w:cs="Times New Roman" w:eastAsia="Times New Roman" w:hAnsi="Times New Roman"/>
          <w:b/>
          <w:bCs/>
          <w:i w:val="false"/>
          <w:iCs w:val="false"/>
          <w:sz w:val="26"/>
          <w:szCs w:val="26"/>
        </w:rPr>
        <w:t xml:space="preserve">[ΤΜΗΜΑ]</w:t>
      </w:r>
    </w:p>
    <w:p>
      <w:pPr>
        <w:spacing w:after="600" w:before="600"/>
        <w:jc w:val="center"/>
      </w:pPr>
      <w:r>
        <w:rPr>
          <w:rFonts w:ascii="Times New Roman" w:cs="Times New Roman" w:eastAsia="Times New Roman" w:hAnsi="Times New Roman"/>
          <w:b/>
          <w:bCs/>
          <w:i w:val="false"/>
          <w:iCs w:val="false"/>
          <w:sz w:val="32"/>
          <w:szCs w:val="32"/>
        </w:rPr>
        <w:t xml:space="preserve">ΔΙΠΛΩΜΑΤΙΚΗ ΕΡΓΑΣΙΑ</w:t>
      </w:r>
    </w:p>
    <w:p>
      <w:pPr>
        <w:spacing w:before="400"/>
      </w:pPr>
    </w:p>
    <w:p>
      <w:pPr>
        <w:spacing w:after="100"/>
        <w:jc w:val="center"/>
      </w:pPr>
      <w:r>
        <w:rPr>
          <w:rFonts w:ascii="Times New Roman" w:cs="Times New Roman" w:eastAsia="Times New Roman" w:hAnsi="Times New Roman"/>
          <w:b/>
          <w:bCs/>
          <w:i w:val="false"/>
          <w:iCs w:val="false"/>
          <w:sz w:val="30"/>
          <w:szCs w:val="30"/>
        </w:rPr>
        <w:t xml:space="preserve">Ο ΡΟΛΟΣ ΤΗΣ ΕΚΠΑΙΔΕΥΣΗΣ ΜΕΣΩ ΑΣΚΗΣΕΩΝ</w:t>
      </w:r>
    </w:p>
    <w:p>
      <w:pPr>
        <w:spacing w:after="100"/>
        <w:jc w:val="center"/>
      </w:pPr>
      <w:r>
        <w:rPr>
          <w:rFonts w:ascii="Times New Roman" w:cs="Times New Roman" w:eastAsia="Times New Roman" w:hAnsi="Times New Roman"/>
          <w:b/>
          <w:bCs/>
          <w:i w:val="false"/>
          <w:iCs w:val="false"/>
          <w:sz w:val="30"/>
          <w:szCs w:val="30"/>
        </w:rPr>
        <w:t xml:space="preserve">ΣΤΗ ΒΕΛΤΙΩΣΗ ΤΗΣ ΕΠΙΧΕΙΡΗΣΙΑΚΗΣ ΕΤΟΙΜΟΤΗΤΑΣ</w:t>
      </w:r>
    </w:p>
    <w:p>
      <w:pPr>
        <w:spacing w:after="100"/>
        <w:jc w:val="center"/>
      </w:pPr>
      <w:r>
        <w:rPr>
          <w:rFonts w:ascii="Times New Roman" w:cs="Times New Roman" w:eastAsia="Times New Roman" w:hAnsi="Times New Roman"/>
          <w:b/>
          <w:bCs/>
          <w:i w:val="false"/>
          <w:iCs w:val="false"/>
          <w:sz w:val="30"/>
          <w:szCs w:val="30"/>
        </w:rPr>
        <w:t xml:space="preserve">ΤΩΝ ΣΩΜΑΤΩΝ ΑΣΦΑΛΕΙΑΣ ΚΑΙ ΤΩΝ ΕΝΟΠΛΩΝ ΔΥΝΑΜΕΩΝ</w:t>
      </w:r>
    </w:p>
    <w:p>
      <w:pPr>
        <w:spacing w:before="1200"/>
      </w:pPr>
    </w:p>
    <w:p>
      <w:pPr>
        <w:spacing w:after="200"/>
        <w:jc w:val="center"/>
      </w:pPr>
      <w:r>
        <w:rPr>
          <w:rFonts w:ascii="Times New Roman" w:cs="Times New Roman" w:eastAsia="Times New Roman" w:hAnsi="Times New Roman"/>
          <w:b w:val="false"/>
          <w:bCs w:val="false"/>
          <w:i w:val="false"/>
          <w:iCs w:val="false"/>
          <w:sz w:val="26"/>
          <w:szCs w:val="26"/>
        </w:rPr>
        <w:t xml:space="preserve">Φοιτητής: Άγγελος Καλαφατάκης</w:t>
      </w:r>
    </w:p>
    <w:p>
      <w:pPr>
        <w:spacing w:after="600"/>
        <w:jc w:val="center"/>
      </w:pPr>
      <w:r>
        <w:rPr>
          <w:rFonts w:ascii="Times New Roman" w:cs="Times New Roman" w:eastAsia="Times New Roman" w:hAnsi="Times New Roman"/>
          <w:b w:val="false"/>
          <w:bCs w:val="false"/>
          <w:i w:val="false"/>
          <w:iCs w:val="false"/>
          <w:sz w:val="26"/>
          <w:szCs w:val="26"/>
        </w:rPr>
        <w:t xml:space="preserve">Επιβλέπων Καθηγητής: [ΕΠΙΒΛΕΠΩΝ ΚΑΘΗΓΗΤΗΣ]</w:t>
      </w:r>
    </w:p>
    <w:p>
      <w:pPr>
        <w:jc w:val="center"/>
      </w:pPr>
      <w:r>
        <w:rPr>
          <w:rFonts w:ascii="Times New Roman" w:cs="Times New Roman" w:eastAsia="Times New Roman" w:hAnsi="Times New Roman"/>
          <w:b w:val="false"/>
          <w:bCs w:val="false"/>
          <w:i w:val="false"/>
          <w:iCs w:val="false"/>
          <w:sz w:val="24"/>
          <w:szCs w:val="24"/>
        </w:rPr>
        <w:t xml:space="preserve">[ΠΟΛΗ], [ΕΤΟΣ]</w:t>
      </w:r>
    </w:p>
    <w:p>
      <w:pPr>
        <w:pageBreakBefore/>
        <w:spacing w:after="240" w:before="480" w:line="360"/>
        <w:jc w:val="center"/>
      </w:pPr>
      <w:r>
        <w:rPr>
          <w:rFonts w:ascii="Times New Roman" w:cs="Times New Roman" w:eastAsia="Times New Roman" w:hAnsi="Times New Roman"/>
          <w:b/>
          <w:bCs/>
          <w:i w:val="false"/>
          <w:iCs w:val="false"/>
          <w:sz w:val="28"/>
          <w:szCs w:val="28"/>
        </w:rPr>
        <w:t xml:space="preserve">ΠΕΡΙΛΗΨΗ</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παρούσα εργασία εξετάζει τον ρόλο της εκπαίδευσης μέσω ασκήσεων στη βελτίωση της επιχειρησιακής ετοιμότητας των σωμάτων ασφαλείας και των ενόπλων δυνάμεων. Η ανάλυση εκτείνεται σε τέσσερις κεντρικούς πυλώνες: το Πυροσβεστικό Σώμα, την Ελληνική Αστυνομία (με ιδιαίτερη αναφορά στην Τροχαία και τα Ειδικά Σώματα), τις Ένοπλες Δυνάμεις και τους φορείς πολιτικής προστασίας. Αρχικά, αναλύεται η πολυδιάστατη έννοια της επιχειρησιακής ετοιμότητας — σωματική, τεχνική, ψυχολογική, οργανωσιακή — και τα θεωρητικά θεμέλια που τεκμηριώνουν τη σημασία της πρακτικής εξάσκησης: η βιωματική μάθηση (Kolb, 1984), η στοχευμένη εξάσκηση (Ericsson, 2006) και οι μη τεχνικές δεξιότητες (Flin et al., 2008). Στη συνέχεια, παρουσιάζονται τα εκπαιδευτικά συστήματα κάθε σώματος, οι τύποι ασκήσεων (επί χάρτου, πεδίου, προσομοίωσης, στρατιωτικές ασκήσεις) και η επίδρασή τους σε κάθε διάσταση ετοιμότητας. Μέσα από τέσσερα case studies — την πυρκαγιά στο Μάτι (2018), τις ασκήσεις MODEX, τις στρατιωτικές ασκήσεις NATO και την εκπαίδευση της αστυνομίας σε σενάρια τρομοκρατίας — αναδεικνύονται τόσο τα κενά που αποκαλύφθηκαν από ανεπαρκή εκπαίδευση όσο και τα θετικά αποτελέσματα της συστηματικής εξάσκησης. Εξετάζεται επίσης ο ρόλος σύγχρονων τεχνολογιών (προσομοιωτές, VR, drones, GIS) ως συμπληρωματικών εργαλείων. Τέλος, διατυπώνονται τεκμηριωμένες προτάσεις βελτίωσης, με έμφαση στην ενίσχυση της βιωματικής μάθησης, τη διυπηρεσιακή εκπαίδευση, την αξιοποίηση τεχνολογίας και την ψυχολογική υποστήριξη του προσωπικού.</w:t>
      </w:r>
    </w:p>
    <w:p>
      <w:pPr>
        <w:spacing w:before="240" w:line="360"/>
        <w:jc w:val="both"/>
      </w:pPr>
      <w:r>
        <w:rPr>
          <w:rFonts w:ascii="Times New Roman" w:cs="Times New Roman" w:eastAsia="Times New Roman" w:hAnsi="Times New Roman"/>
          <w:b/>
          <w:bCs/>
          <w:i w:val="false"/>
          <w:iCs w:val="false"/>
          <w:sz w:val="24"/>
          <w:szCs w:val="24"/>
        </w:rPr>
        <w:t xml:space="preserve">Λέξεις-κλειδιά: </w:t>
      </w:r>
      <w:r>
        <w:rPr>
          <w:rFonts w:ascii="Times New Roman" w:cs="Times New Roman" w:eastAsia="Times New Roman" w:hAnsi="Times New Roman"/>
          <w:b w:val="false"/>
          <w:bCs w:val="false"/>
          <w:i/>
          <w:iCs/>
          <w:sz w:val="24"/>
          <w:szCs w:val="24"/>
        </w:rPr>
        <w:t xml:space="preserve">επιχειρησιακή ετοιμότητα, εκπαίδευση μέσω ασκήσεων, σώματα ασφαλείας, ένοπλες δυνάμεις, αστυνομία, πυροσβεστικό σώμα, βιωματική μάθηση, πολιτική προστασία, μη τεχνικές δεξιότητες</w:t>
      </w:r>
    </w:p>
    <w:p>
      <w:pPr>
        <w:pageBreakBefore/>
        <w:spacing w:after="240" w:before="480" w:line="360"/>
        <w:jc w:val="center"/>
      </w:pPr>
      <w:r>
        <w:rPr>
          <w:rFonts w:ascii="Times New Roman" w:cs="Times New Roman" w:eastAsia="Times New Roman" w:hAnsi="Times New Roman"/>
          <w:b/>
          <w:bCs/>
          <w:i w:val="false"/>
          <w:iCs w:val="false"/>
          <w:sz w:val="28"/>
          <w:szCs w:val="28"/>
        </w:rPr>
        <w:t xml:space="preserve">ABSTRACT</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This thesis examines the role of exercise-based training in enhancing the operational readiness of security forces and armed services. The analysis spans four central pillars: the Hellenic Fire Service, the Hellenic Police (with particular reference to Traffic Police and Special Units), the Armed Forces, and civil protection agencies. It begins by analyzing the multidimensional concept of operational readiness — physical, technical, psychological, and organizational — and the theoretical foundations underpinning practical training: experiential learning (Kolb, 1984), deliberate practice (Ericsson, 2006), and non-technical skills (Flin et al., 2008). The training systems of each service are then presented, along with types of exercises (tabletop, field, simulation, military drills) and their impact on each dimension of readiness. Four case studies — the Mati wildfire (2018), EU MODEX exercises, NATO military exercises, and police counter-terrorism training — illustrate both deficiencies revealed by inadequate training and positive outcomes of systematic practice. The role of modern technologies (simulators, VR, drones, GIS) as complementary training tools is also examined. Finally, evidence-based recommendations are formulated, emphasizing enhanced experiential learning, inter-agency training, technology integration, and psychological support for personnel.</w:t>
      </w:r>
    </w:p>
    <w:p>
      <w:pPr>
        <w:spacing w:before="240" w:line="360"/>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operational readiness, exercise-based training, security forces, armed forces, police, fire service, experiential learning, civil protection, non-technical skills</w:t>
      </w:r>
    </w:p>
    <w:p>
      <w:pPr>
        <w:pageBreakBefore/>
        <w:spacing w:after="240" w:before="480" w:line="360"/>
        <w:jc w:val="center"/>
      </w:pPr>
      <w:r>
        <w:rPr>
          <w:rFonts w:ascii="Times New Roman" w:cs="Times New Roman" w:eastAsia="Times New Roman" w:hAnsi="Times New Roman"/>
          <w:b/>
          <w:bCs/>
          <w:i w:val="false"/>
          <w:iCs w:val="false"/>
          <w:sz w:val="28"/>
          <w:szCs w:val="28"/>
        </w:rPr>
        <w:t xml:space="preserve">ΠΙΝΑΚΑΣ ΠΕΡΙΕΧΟΜΕΝΩΝ</w:t>
      </w:r>
    </w:p>
    <w:p>
      <w:pPr>
        <w:spacing w:after="80" w:line="300"/>
      </w:pPr>
      <w:r>
        <w:rPr>
          <w:rFonts w:ascii="Times New Roman" w:cs="Times New Roman" w:eastAsia="Times New Roman" w:hAnsi="Times New Roman"/>
          <w:b/>
          <w:bCs/>
          <w:i w:val="false"/>
          <w:iCs w:val="false"/>
          <w:sz w:val="24"/>
          <w:szCs w:val="24"/>
        </w:rPr>
        <w:t xml:space="preserve">ΠΕΡΙΛΗΨΗ</w:t>
      </w:r>
    </w:p>
    <w:p>
      <w:pPr>
        <w:spacing w:after="80" w:line="300"/>
      </w:pPr>
      <w:r>
        <w:rPr>
          <w:rFonts w:ascii="Times New Roman" w:cs="Times New Roman" w:eastAsia="Times New Roman" w:hAnsi="Times New Roman"/>
          <w:b/>
          <w:bCs/>
          <w:i w:val="false"/>
          <w:iCs w:val="false"/>
          <w:sz w:val="24"/>
          <w:szCs w:val="24"/>
        </w:rPr>
        <w:t xml:space="preserve">ABSTRACT</w:t>
      </w:r>
    </w:p>
    <w:p>
      <w:pPr>
        <w:spacing w:after="80" w:line="300"/>
      </w:pPr>
      <w:r>
        <w:rPr>
          <w:rFonts w:ascii="Times New Roman" w:cs="Times New Roman" w:eastAsia="Times New Roman" w:hAnsi="Times New Roman"/>
          <w:b/>
          <w:bCs/>
          <w:i w:val="false"/>
          <w:iCs w:val="false"/>
          <w:sz w:val="24"/>
          <w:szCs w:val="24"/>
        </w:rPr>
        <w:t xml:space="preserve">ΕΙΣΑΓΩΓΗ</w:t>
      </w:r>
    </w:p>
    <w:p>
      <w:pPr>
        <w:spacing w:after="40" w:line="300"/>
        <w:ind w:left="720"/>
      </w:pPr>
      <w:r>
        <w:rPr>
          <w:rFonts w:ascii="Times New Roman" w:cs="Times New Roman" w:eastAsia="Times New Roman" w:hAnsi="Times New Roman"/>
          <w:b w:val="false"/>
          <w:bCs w:val="false"/>
          <w:i w:val="false"/>
          <w:iCs w:val="false"/>
          <w:sz w:val="22"/>
          <w:szCs w:val="22"/>
        </w:rPr>
        <w:t xml:space="preserve">Αντικείμενο και σκοπός</w:t>
      </w:r>
    </w:p>
    <w:p>
      <w:pPr>
        <w:spacing w:after="40" w:line="300"/>
        <w:ind w:left="720"/>
      </w:pPr>
      <w:r>
        <w:rPr>
          <w:rFonts w:ascii="Times New Roman" w:cs="Times New Roman" w:eastAsia="Times New Roman" w:hAnsi="Times New Roman"/>
          <w:b w:val="false"/>
          <w:bCs w:val="false"/>
          <w:i w:val="false"/>
          <w:iCs w:val="false"/>
          <w:sz w:val="22"/>
          <w:szCs w:val="22"/>
        </w:rPr>
        <w:t xml:space="preserve">Μεθοδολογική προσέγγιση</w:t>
      </w:r>
    </w:p>
    <w:p>
      <w:pPr>
        <w:spacing w:after="40" w:line="300"/>
        <w:ind w:left="720"/>
      </w:pPr>
      <w:r>
        <w:rPr>
          <w:rFonts w:ascii="Times New Roman" w:cs="Times New Roman" w:eastAsia="Times New Roman" w:hAnsi="Times New Roman"/>
          <w:b w:val="false"/>
          <w:bCs w:val="false"/>
          <w:i w:val="false"/>
          <w:iCs w:val="false"/>
          <w:sz w:val="22"/>
          <w:szCs w:val="22"/>
        </w:rPr>
        <w:t xml:space="preserve">Δομή της εργασίας</w:t>
      </w:r>
    </w:p>
    <w:p>
      <w:pPr>
        <w:spacing w:after="80" w:line="300"/>
      </w:pPr>
      <w:r>
        <w:rPr>
          <w:rFonts w:ascii="Times New Roman" w:cs="Times New Roman" w:eastAsia="Times New Roman" w:hAnsi="Times New Roman"/>
          <w:b/>
          <w:bCs/>
          <w:i w:val="false"/>
          <w:iCs w:val="false"/>
          <w:sz w:val="24"/>
          <w:szCs w:val="24"/>
        </w:rPr>
        <w:t xml:space="preserve">ΚΕΦΑΛΑΙΟ 1: ΘΕΩΡΗΤΙΚΟ ΠΛΑΙΣΙΟ</w:t>
      </w:r>
    </w:p>
    <w:p>
      <w:pPr>
        <w:spacing w:after="40" w:line="300"/>
        <w:ind w:left="720"/>
      </w:pPr>
      <w:r>
        <w:rPr>
          <w:rFonts w:ascii="Times New Roman" w:cs="Times New Roman" w:eastAsia="Times New Roman" w:hAnsi="Times New Roman"/>
          <w:b w:val="false"/>
          <w:bCs w:val="false"/>
          <w:i w:val="false"/>
          <w:iCs w:val="false"/>
          <w:sz w:val="22"/>
          <w:szCs w:val="22"/>
        </w:rPr>
        <w:t xml:space="preserve">1.1 Η έννοια της επιχειρησιακής ετοιμότητας</w:t>
      </w:r>
    </w:p>
    <w:p>
      <w:pPr>
        <w:spacing w:after="40" w:line="300"/>
        <w:ind w:left="720"/>
      </w:pPr>
      <w:r>
        <w:rPr>
          <w:rFonts w:ascii="Times New Roman" w:cs="Times New Roman" w:eastAsia="Times New Roman" w:hAnsi="Times New Roman"/>
          <w:b w:val="false"/>
          <w:bCs w:val="false"/>
          <w:i w:val="false"/>
          <w:iCs w:val="false"/>
          <w:sz w:val="22"/>
          <w:szCs w:val="22"/>
        </w:rPr>
        <w:t xml:space="preserve">1.2 Παράγοντες που επηρεάζουν την ετοιμότητα</w:t>
      </w:r>
    </w:p>
    <w:p>
      <w:pPr>
        <w:spacing w:after="40" w:line="300"/>
        <w:ind w:left="720"/>
      </w:pPr>
      <w:r>
        <w:rPr>
          <w:rFonts w:ascii="Times New Roman" w:cs="Times New Roman" w:eastAsia="Times New Roman" w:hAnsi="Times New Roman"/>
          <w:b w:val="false"/>
          <w:bCs w:val="false"/>
          <w:i w:val="false"/>
          <w:iCs w:val="false"/>
          <w:sz w:val="22"/>
          <w:szCs w:val="22"/>
        </w:rPr>
        <w:t xml:space="preserve">1.3 Θεωρίες μάθησης (Kolb, Ericsson, CRM)</w:t>
      </w:r>
    </w:p>
    <w:p>
      <w:pPr>
        <w:spacing w:after="40" w:line="300"/>
        <w:ind w:left="720"/>
      </w:pPr>
      <w:r>
        <w:rPr>
          <w:rFonts w:ascii="Times New Roman" w:cs="Times New Roman" w:eastAsia="Times New Roman" w:hAnsi="Times New Roman"/>
          <w:b w:val="false"/>
          <w:bCs w:val="false"/>
          <w:i w:val="false"/>
          <w:iCs w:val="false"/>
          <w:sz w:val="22"/>
          <w:szCs w:val="22"/>
        </w:rPr>
        <w:t xml:space="preserve">1.4 Η εκπαίδευση σε επαγγέλματα υψηλού κινδύνου</w:t>
      </w:r>
    </w:p>
    <w:p>
      <w:pPr>
        <w:spacing w:after="80" w:line="300"/>
      </w:pPr>
      <w:r>
        <w:rPr>
          <w:rFonts w:ascii="Times New Roman" w:cs="Times New Roman" w:eastAsia="Times New Roman" w:hAnsi="Times New Roman"/>
          <w:b/>
          <w:bCs/>
          <w:i w:val="false"/>
          <w:iCs w:val="false"/>
          <w:sz w:val="24"/>
          <w:szCs w:val="24"/>
        </w:rPr>
        <w:t xml:space="preserve">ΚΕΦΑΛΑΙΟ 2: ΤΑ ΣΩΜΑΤΑ ΑΣΦΑΛΕΙΑΣ ΚΑΙ ΟΙ ΕΝΟΠΛΕΣ ΔΥΝΑΜΕΙΣ</w:t>
      </w:r>
    </w:p>
    <w:p>
      <w:pPr>
        <w:spacing w:after="40" w:line="300"/>
        <w:ind w:left="720"/>
      </w:pPr>
      <w:r>
        <w:rPr>
          <w:rFonts w:ascii="Times New Roman" w:cs="Times New Roman" w:eastAsia="Times New Roman" w:hAnsi="Times New Roman"/>
          <w:b w:val="false"/>
          <w:bCs w:val="false"/>
          <w:i w:val="false"/>
          <w:iCs w:val="false"/>
          <w:sz w:val="22"/>
          <w:szCs w:val="22"/>
        </w:rPr>
        <w:t xml:space="preserve">2.1 Οι Ένοπλες Δυνάμεις</w:t>
      </w:r>
    </w:p>
    <w:p>
      <w:pPr>
        <w:spacing w:after="40" w:line="300"/>
        <w:ind w:left="720"/>
      </w:pPr>
      <w:r>
        <w:rPr>
          <w:rFonts w:ascii="Times New Roman" w:cs="Times New Roman" w:eastAsia="Times New Roman" w:hAnsi="Times New Roman"/>
          <w:b w:val="false"/>
          <w:bCs w:val="false"/>
          <w:i w:val="false"/>
          <w:iCs w:val="false"/>
          <w:sz w:val="22"/>
          <w:szCs w:val="22"/>
        </w:rPr>
        <w:t xml:space="preserve">2.2 Η Ελληνική Αστυνομία (ΕΛ.ΑΣ.)</w:t>
      </w:r>
    </w:p>
    <w:p>
      <w:pPr>
        <w:spacing w:after="40" w:line="300"/>
        <w:ind w:left="720"/>
      </w:pPr>
      <w:r>
        <w:rPr>
          <w:rFonts w:ascii="Times New Roman" w:cs="Times New Roman" w:eastAsia="Times New Roman" w:hAnsi="Times New Roman"/>
          <w:b w:val="false"/>
          <w:bCs w:val="false"/>
          <w:i w:val="false"/>
          <w:iCs w:val="false"/>
          <w:sz w:val="22"/>
          <w:szCs w:val="22"/>
        </w:rPr>
        <w:t xml:space="preserve">2.3 Η Τροχαία Αστυνομία</w:t>
      </w:r>
    </w:p>
    <w:p>
      <w:pPr>
        <w:spacing w:after="40" w:line="300"/>
        <w:ind w:left="720"/>
      </w:pPr>
      <w:r>
        <w:rPr>
          <w:rFonts w:ascii="Times New Roman" w:cs="Times New Roman" w:eastAsia="Times New Roman" w:hAnsi="Times New Roman"/>
          <w:b w:val="false"/>
          <w:bCs w:val="false"/>
          <w:i w:val="false"/>
          <w:iCs w:val="false"/>
          <w:sz w:val="22"/>
          <w:szCs w:val="22"/>
        </w:rPr>
        <w:t xml:space="preserve">2.4 Το Πυροσβεστικό Σώμα</w:t>
      </w:r>
    </w:p>
    <w:p>
      <w:pPr>
        <w:spacing w:after="40" w:line="300"/>
        <w:ind w:left="720"/>
      </w:pPr>
      <w:r>
        <w:rPr>
          <w:rFonts w:ascii="Times New Roman" w:cs="Times New Roman" w:eastAsia="Times New Roman" w:hAnsi="Times New Roman"/>
          <w:b w:val="false"/>
          <w:bCs w:val="false"/>
          <w:i w:val="false"/>
          <w:iCs w:val="false"/>
          <w:sz w:val="22"/>
          <w:szCs w:val="22"/>
        </w:rPr>
        <w:t xml:space="preserve">2.5 Κοινές επιχειρησιακές απαιτήσεις</w:t>
      </w:r>
    </w:p>
    <w:p>
      <w:pPr>
        <w:spacing w:after="80" w:line="300"/>
      </w:pPr>
      <w:r>
        <w:rPr>
          <w:rFonts w:ascii="Times New Roman" w:cs="Times New Roman" w:eastAsia="Times New Roman" w:hAnsi="Times New Roman"/>
          <w:b/>
          <w:bCs/>
          <w:i w:val="false"/>
          <w:iCs w:val="false"/>
          <w:sz w:val="24"/>
          <w:szCs w:val="24"/>
        </w:rPr>
        <w:t xml:space="preserve">ΚΕΦΑΛΑΙΟ 3: ΕΚΠΑΙΔΕΥΤΙΚΑ ΣΥΣΤΗΜΑΤΑ ΚΑΙ ΜΟΡΦΕΣ ΑΣΚΗΣΕΩΝ</w:t>
      </w:r>
    </w:p>
    <w:p>
      <w:pPr>
        <w:spacing w:after="40" w:line="300"/>
        <w:ind w:left="720"/>
      </w:pPr>
      <w:r>
        <w:rPr>
          <w:rFonts w:ascii="Times New Roman" w:cs="Times New Roman" w:eastAsia="Times New Roman" w:hAnsi="Times New Roman"/>
          <w:b w:val="false"/>
          <w:bCs w:val="false"/>
          <w:i w:val="false"/>
          <w:iCs w:val="false"/>
          <w:sz w:val="22"/>
          <w:szCs w:val="22"/>
        </w:rPr>
        <w:t xml:space="preserve">3.1 Η στρατιωτική εκπαίδευση</w:t>
      </w:r>
    </w:p>
    <w:p>
      <w:pPr>
        <w:spacing w:after="40" w:line="300"/>
        <w:ind w:left="720"/>
      </w:pPr>
      <w:r>
        <w:rPr>
          <w:rFonts w:ascii="Times New Roman" w:cs="Times New Roman" w:eastAsia="Times New Roman" w:hAnsi="Times New Roman"/>
          <w:b w:val="false"/>
          <w:bCs w:val="false"/>
          <w:i w:val="false"/>
          <w:iCs w:val="false"/>
          <w:sz w:val="22"/>
          <w:szCs w:val="22"/>
        </w:rPr>
        <w:t xml:space="preserve">3.2 Η αστυνομική εκπαίδευση</w:t>
      </w:r>
    </w:p>
    <w:p>
      <w:pPr>
        <w:spacing w:after="40" w:line="300"/>
        <w:ind w:left="720"/>
      </w:pPr>
      <w:r>
        <w:rPr>
          <w:rFonts w:ascii="Times New Roman" w:cs="Times New Roman" w:eastAsia="Times New Roman" w:hAnsi="Times New Roman"/>
          <w:b w:val="false"/>
          <w:bCs w:val="false"/>
          <w:i w:val="false"/>
          <w:iCs w:val="false"/>
          <w:sz w:val="22"/>
          <w:szCs w:val="22"/>
        </w:rPr>
        <w:t xml:space="preserve">3.3 Η εκπαίδευση της Τροχαίας</w:t>
      </w:r>
    </w:p>
    <w:p>
      <w:pPr>
        <w:spacing w:after="40" w:line="300"/>
        <w:ind w:left="720"/>
      </w:pPr>
      <w:r>
        <w:rPr>
          <w:rFonts w:ascii="Times New Roman" w:cs="Times New Roman" w:eastAsia="Times New Roman" w:hAnsi="Times New Roman"/>
          <w:b w:val="false"/>
          <w:bCs w:val="false"/>
          <w:i w:val="false"/>
          <w:iCs w:val="false"/>
          <w:sz w:val="22"/>
          <w:szCs w:val="22"/>
        </w:rPr>
        <w:t xml:space="preserve">3.4 Η εκπαίδευση στο Πυροσβεστικό Σώμα</w:t>
      </w:r>
    </w:p>
    <w:p>
      <w:pPr>
        <w:spacing w:after="40" w:line="300"/>
        <w:ind w:left="720"/>
      </w:pPr>
      <w:r>
        <w:rPr>
          <w:rFonts w:ascii="Times New Roman" w:cs="Times New Roman" w:eastAsia="Times New Roman" w:hAnsi="Times New Roman"/>
          <w:b w:val="false"/>
          <w:bCs w:val="false"/>
          <w:i w:val="false"/>
          <w:iCs w:val="false"/>
          <w:sz w:val="22"/>
          <w:szCs w:val="22"/>
        </w:rPr>
        <w:t xml:space="preserve">3.5 Πολυφορεακές ασκήσεις</w:t>
      </w:r>
    </w:p>
    <w:p>
      <w:pPr>
        <w:spacing w:after="80" w:line="300"/>
      </w:pPr>
      <w:r>
        <w:rPr>
          <w:rFonts w:ascii="Times New Roman" w:cs="Times New Roman" w:eastAsia="Times New Roman" w:hAnsi="Times New Roman"/>
          <w:b/>
          <w:bCs/>
          <w:i w:val="false"/>
          <w:iCs w:val="false"/>
          <w:sz w:val="24"/>
          <w:szCs w:val="24"/>
        </w:rPr>
        <w:t xml:space="preserve">ΚΕΦΑΛΑΙΟ 4: Η ΕΠΙΔΡΑΣΗ ΤΗΣ ΕΚΠΑΙΔΕΥΣΗΣ ΣΤΗΝ ΕΤΟΙΜΟΤΗΤΑ</w:t>
      </w:r>
    </w:p>
    <w:p>
      <w:pPr>
        <w:spacing w:after="40" w:line="300"/>
        <w:ind w:left="720"/>
      </w:pPr>
      <w:r>
        <w:rPr>
          <w:rFonts w:ascii="Times New Roman" w:cs="Times New Roman" w:eastAsia="Times New Roman" w:hAnsi="Times New Roman"/>
          <w:b w:val="false"/>
          <w:bCs w:val="false"/>
          <w:i w:val="false"/>
          <w:iCs w:val="false"/>
          <w:sz w:val="22"/>
          <w:szCs w:val="22"/>
        </w:rPr>
        <w:t xml:space="preserve">4.1 Σωματική ετοιμότητα</w:t>
      </w:r>
    </w:p>
    <w:p>
      <w:pPr>
        <w:spacing w:after="40" w:line="300"/>
        <w:ind w:left="720"/>
      </w:pPr>
      <w:r>
        <w:rPr>
          <w:rFonts w:ascii="Times New Roman" w:cs="Times New Roman" w:eastAsia="Times New Roman" w:hAnsi="Times New Roman"/>
          <w:b w:val="false"/>
          <w:bCs w:val="false"/>
          <w:i w:val="false"/>
          <w:iCs w:val="false"/>
          <w:sz w:val="22"/>
          <w:szCs w:val="22"/>
        </w:rPr>
        <w:t xml:space="preserve">4.2 Τεχνική επάρκεια</w:t>
      </w:r>
    </w:p>
    <w:p>
      <w:pPr>
        <w:spacing w:after="40" w:line="300"/>
        <w:ind w:left="720"/>
      </w:pPr>
      <w:r>
        <w:rPr>
          <w:rFonts w:ascii="Times New Roman" w:cs="Times New Roman" w:eastAsia="Times New Roman" w:hAnsi="Times New Roman"/>
          <w:b w:val="false"/>
          <w:bCs w:val="false"/>
          <w:i w:val="false"/>
          <w:iCs w:val="false"/>
          <w:sz w:val="22"/>
          <w:szCs w:val="22"/>
        </w:rPr>
        <w:t xml:space="preserve">4.3 Ψυχολογική ανθεκτικότητα</w:t>
      </w:r>
    </w:p>
    <w:p>
      <w:pPr>
        <w:spacing w:after="40" w:line="300"/>
        <w:ind w:left="720"/>
      </w:pPr>
      <w:r>
        <w:rPr>
          <w:rFonts w:ascii="Times New Roman" w:cs="Times New Roman" w:eastAsia="Times New Roman" w:hAnsi="Times New Roman"/>
          <w:b w:val="false"/>
          <w:bCs w:val="false"/>
          <w:i w:val="false"/>
          <w:iCs w:val="false"/>
          <w:sz w:val="22"/>
          <w:szCs w:val="22"/>
        </w:rPr>
        <w:t xml:space="preserve">4.4 Ομαδική συνεργασία και συντονισμός</w:t>
      </w:r>
    </w:p>
    <w:p>
      <w:pPr>
        <w:spacing w:after="40" w:line="300"/>
        <w:ind w:left="720"/>
      </w:pPr>
      <w:r>
        <w:rPr>
          <w:rFonts w:ascii="Times New Roman" w:cs="Times New Roman" w:eastAsia="Times New Roman" w:hAnsi="Times New Roman"/>
          <w:b w:val="false"/>
          <w:bCs w:val="false"/>
          <w:i w:val="false"/>
          <w:iCs w:val="false"/>
          <w:sz w:val="22"/>
          <w:szCs w:val="22"/>
        </w:rPr>
        <w:t xml:space="preserve">4.5 Συχνότητα ασκήσεων και ετοιμότητα</w:t>
      </w:r>
    </w:p>
    <w:p>
      <w:pPr>
        <w:spacing w:after="80" w:line="300"/>
      </w:pPr>
      <w:r>
        <w:rPr>
          <w:rFonts w:ascii="Times New Roman" w:cs="Times New Roman" w:eastAsia="Times New Roman" w:hAnsi="Times New Roman"/>
          <w:b/>
          <w:bCs/>
          <w:i w:val="false"/>
          <w:iCs w:val="false"/>
          <w:sz w:val="24"/>
          <w:szCs w:val="24"/>
        </w:rPr>
        <w:t xml:space="preserve">ΚΕΦΑΛΑΙΟ 5: CASE STUDIES ΚΑΙ ΔΙΕΘΝΗΣ ΣΥΝΕΡΓΑΣΙΑ</w:t>
      </w:r>
    </w:p>
    <w:p>
      <w:pPr>
        <w:spacing w:after="40" w:line="300"/>
        <w:ind w:left="720"/>
      </w:pPr>
      <w:r>
        <w:rPr>
          <w:rFonts w:ascii="Times New Roman" w:cs="Times New Roman" w:eastAsia="Times New Roman" w:hAnsi="Times New Roman"/>
          <w:b w:val="false"/>
          <w:bCs w:val="false"/>
          <w:i w:val="false"/>
          <w:iCs w:val="false"/>
          <w:sz w:val="22"/>
          <w:szCs w:val="22"/>
        </w:rPr>
        <w:t xml:space="preserve">5.1 Πλαίσια διεθνούς συνεργασίας</w:t>
      </w:r>
    </w:p>
    <w:p>
      <w:pPr>
        <w:spacing w:after="40" w:line="300"/>
        <w:ind w:left="720"/>
      </w:pPr>
      <w:r>
        <w:rPr>
          <w:rFonts w:ascii="Times New Roman" w:cs="Times New Roman" w:eastAsia="Times New Roman" w:hAnsi="Times New Roman"/>
          <w:b w:val="false"/>
          <w:bCs w:val="false"/>
          <w:i w:val="false"/>
          <w:iCs w:val="false"/>
          <w:sz w:val="22"/>
          <w:szCs w:val="22"/>
        </w:rPr>
        <w:t xml:space="preserve">5.2 CS1: Πυρκαγιά Μάτι (2018)</w:t>
      </w:r>
    </w:p>
    <w:p>
      <w:pPr>
        <w:spacing w:after="40" w:line="300"/>
        <w:ind w:left="720"/>
      </w:pPr>
      <w:r>
        <w:rPr>
          <w:rFonts w:ascii="Times New Roman" w:cs="Times New Roman" w:eastAsia="Times New Roman" w:hAnsi="Times New Roman"/>
          <w:b w:val="false"/>
          <w:bCs w:val="false"/>
          <w:i w:val="false"/>
          <w:iCs w:val="false"/>
          <w:sz w:val="22"/>
          <w:szCs w:val="22"/>
        </w:rPr>
        <w:t xml:space="preserve">5.3 CS2: NATO Defender Europe</w:t>
      </w:r>
    </w:p>
    <w:p>
      <w:pPr>
        <w:spacing w:after="40" w:line="300"/>
        <w:ind w:left="720"/>
      </w:pPr>
      <w:r>
        <w:rPr>
          <w:rFonts w:ascii="Times New Roman" w:cs="Times New Roman" w:eastAsia="Times New Roman" w:hAnsi="Times New Roman"/>
          <w:b w:val="false"/>
          <w:bCs w:val="false"/>
          <w:i w:val="false"/>
          <w:iCs w:val="false"/>
          <w:sz w:val="22"/>
          <w:szCs w:val="22"/>
        </w:rPr>
        <w:t xml:space="preserve">5.4 CS3: MODEX / ΕΜΑΚ</w:t>
      </w:r>
    </w:p>
    <w:p>
      <w:pPr>
        <w:spacing w:after="40" w:line="300"/>
        <w:ind w:left="720"/>
      </w:pPr>
      <w:r>
        <w:rPr>
          <w:rFonts w:ascii="Times New Roman" w:cs="Times New Roman" w:eastAsia="Times New Roman" w:hAnsi="Times New Roman"/>
          <w:b w:val="false"/>
          <w:bCs w:val="false"/>
          <w:i w:val="false"/>
          <w:iCs w:val="false"/>
          <w:sz w:val="22"/>
          <w:szCs w:val="22"/>
        </w:rPr>
        <w:t xml:space="preserve">5.5 CS4: ATLAS Network αντιτρομοκρατίας</w:t>
      </w:r>
    </w:p>
    <w:p>
      <w:pPr>
        <w:spacing w:after="80" w:line="300"/>
      </w:pPr>
      <w:r>
        <w:rPr>
          <w:rFonts w:ascii="Times New Roman" w:cs="Times New Roman" w:eastAsia="Times New Roman" w:hAnsi="Times New Roman"/>
          <w:b/>
          <w:bCs/>
          <w:i w:val="false"/>
          <w:iCs w:val="false"/>
          <w:sz w:val="24"/>
          <w:szCs w:val="24"/>
        </w:rPr>
        <w:t xml:space="preserve">ΚΕΦΑΛΑΙΟ 6: Ο ΡΟΛΟΣ ΤΗΣ ΤΕΧΝΟΛΟΓΙΑΣ</w:t>
      </w:r>
    </w:p>
    <w:p>
      <w:pPr>
        <w:spacing w:after="40" w:line="300"/>
        <w:ind w:left="720"/>
      </w:pPr>
      <w:r>
        <w:rPr>
          <w:rFonts w:ascii="Times New Roman" w:cs="Times New Roman" w:eastAsia="Times New Roman" w:hAnsi="Times New Roman"/>
          <w:b w:val="false"/>
          <w:bCs w:val="false"/>
          <w:i w:val="false"/>
          <w:iCs w:val="false"/>
          <w:sz w:val="22"/>
          <w:szCs w:val="22"/>
        </w:rPr>
        <w:t xml:space="preserve">6.1 Προσομοιωτές</w:t>
      </w:r>
    </w:p>
    <w:p>
      <w:pPr>
        <w:spacing w:after="40" w:line="300"/>
        <w:ind w:left="720"/>
      </w:pPr>
      <w:r>
        <w:rPr>
          <w:rFonts w:ascii="Times New Roman" w:cs="Times New Roman" w:eastAsia="Times New Roman" w:hAnsi="Times New Roman"/>
          <w:b w:val="false"/>
          <w:bCs w:val="false"/>
          <w:i w:val="false"/>
          <w:iCs w:val="false"/>
          <w:sz w:val="22"/>
          <w:szCs w:val="22"/>
        </w:rPr>
        <w:t xml:space="preserve">6.2 VR/AR</w:t>
      </w:r>
    </w:p>
    <w:p>
      <w:pPr>
        <w:spacing w:after="40" w:line="300"/>
        <w:ind w:left="720"/>
      </w:pPr>
      <w:r>
        <w:rPr>
          <w:rFonts w:ascii="Times New Roman" w:cs="Times New Roman" w:eastAsia="Times New Roman" w:hAnsi="Times New Roman"/>
          <w:b w:val="false"/>
          <w:bCs w:val="false"/>
          <w:i w:val="false"/>
          <w:iCs w:val="false"/>
          <w:sz w:val="22"/>
          <w:szCs w:val="22"/>
        </w:rPr>
        <w:t xml:space="preserve">6.3 Drones</w:t>
      </w:r>
    </w:p>
    <w:p>
      <w:pPr>
        <w:spacing w:after="40" w:line="300"/>
        <w:ind w:left="720"/>
      </w:pPr>
      <w:r>
        <w:rPr>
          <w:rFonts w:ascii="Times New Roman" w:cs="Times New Roman" w:eastAsia="Times New Roman" w:hAnsi="Times New Roman"/>
          <w:b w:val="false"/>
          <w:bCs w:val="false"/>
          <w:i w:val="false"/>
          <w:iCs w:val="false"/>
          <w:sz w:val="22"/>
          <w:szCs w:val="22"/>
        </w:rPr>
        <w:t xml:space="preserve">6.4 GIS, e-learning</w:t>
      </w:r>
    </w:p>
    <w:p>
      <w:pPr>
        <w:spacing w:after="80" w:line="300"/>
      </w:pPr>
      <w:r>
        <w:rPr>
          <w:rFonts w:ascii="Times New Roman" w:cs="Times New Roman" w:eastAsia="Times New Roman" w:hAnsi="Times New Roman"/>
          <w:b/>
          <w:bCs/>
          <w:i w:val="false"/>
          <w:iCs w:val="false"/>
          <w:sz w:val="24"/>
          <w:szCs w:val="24"/>
        </w:rPr>
        <w:t xml:space="preserve">ΣΥΜΠΕΡΑΣΜΑΤΑ ΚΑΙ ΠΡΟΤΑΣΕΙΣ</w:t>
      </w:r>
    </w:p>
    <w:p>
      <w:pPr>
        <w:spacing w:after="80" w:line="300"/>
      </w:pPr>
      <w:r>
        <w:rPr>
          <w:rFonts w:ascii="Times New Roman" w:cs="Times New Roman" w:eastAsia="Times New Roman" w:hAnsi="Times New Roman"/>
          <w:b/>
          <w:bCs/>
          <w:i w:val="false"/>
          <w:iCs w:val="false"/>
          <w:sz w:val="24"/>
          <w:szCs w:val="24"/>
        </w:rPr>
        <w:t xml:space="preserve">ΒΙΒΛΙΟΓΡΑΦΙΑ</w:t>
      </w:r>
    </w:p>
    <w:p>
      <w:pPr>
        <w:pageBreakBefore/>
        <w:spacing w:after="240" w:before="480" w:line="360"/>
        <w:jc w:val="center"/>
      </w:pPr>
      <w:r>
        <w:rPr>
          <w:rFonts w:ascii="Times New Roman" w:cs="Times New Roman" w:eastAsia="Times New Roman" w:hAnsi="Times New Roman"/>
          <w:b/>
          <w:bCs/>
          <w:i w:val="false"/>
          <w:iCs w:val="false"/>
          <w:sz w:val="28"/>
          <w:szCs w:val="28"/>
        </w:rPr>
        <w:t xml:space="preserve">ΕΙΣΑΓΩΓΗ</w:t>
      </w:r>
    </w:p>
    <w:p>
      <w:pPr>
        <w:spacing w:after="200" w:before="360" w:line="360"/>
        <w:jc w:val="left"/>
      </w:pPr>
      <w:r>
        <w:rPr>
          <w:rFonts w:ascii="Times New Roman" w:cs="Times New Roman" w:eastAsia="Times New Roman" w:hAnsi="Times New Roman"/>
          <w:b/>
          <w:bCs/>
          <w:i w:val="false"/>
          <w:iCs w:val="false"/>
          <w:sz w:val="26"/>
          <w:szCs w:val="26"/>
        </w:rPr>
        <w:t xml:space="preserve">Αντικείμενο και σκοπός της εργασίας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Τα σώματα ασφαλείας και οι ένοπλες δυνάμεις αποτελούν τους θεμελιώδεις μηχανισμούς προστασίας της ανθρώπινης ζωής, της δημόσιας τάξης, της εθνικής ασφάλειας και του φυσικού περιβάλλοντος. Στην ελληνική πραγματικότητα, ο όρος «σώματα ασφαλείας» περιλαμβάνει ένα ευρύ φάσμα φορέων: το Πυροσβεστικό Σώμα (ΠΣ), την Ελληνική Αστυνομία (ΕΛ.ΑΣ.) — με τις εξειδικευμένες μονάδες Τροχαίας, ΟΠΚΕ, ΕΚΑΜ — τις Ένοπλες Δυνάμεις (Στρατός Ξηράς, Πολεμικό Ναυτικό, Πολεμική Αεροπορία), το Λιμενικό Σώμα, καθώς και τους φορείς πολιτικής προστασίας. Κάθε ένα από αυτά τα σώματα καλείται να δρα σε καταστάσεις υψηλού κινδύνου, χρονικής πίεσης και αβεβαιότητας: πυρκαγιές, σεισμοί, τροχαία ατυχήματα, τρομοκρατικές απειλές, στρατιωτικές κρίσεις, πλημμύρες, θαλάσσιες διασώσεις, αστυνομικές επιχειρήσεις μεγάλης κλίμακας.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Κατά την τελευταία δεκαετία, η ένταση και η πολυπλοκότητα των κρίσεων αυξήθηκε αισθητά σε όλους τους τομείς. Η κλιματική αλλαγή εντείνει τις φυσικές καταστροφές: οι πυρκαγιές στο Μάτι (2018) με 104 θύματα, η πλημμύρα της Θεσσαλίας (2023), η μεγαλύτερη πυρκαγιά στην ιστορία της ΕΕ στην Αλεξανδρούπολη (2023). Η τρομοκρατία και οι ασύμμετρες απειλές θέτουν νέες προκλήσεις στην αστυνομία και τον στρατό — η επίθεση στο Παρίσι (2015) και στις Βρυξέλλες (2016) κατέδειξαν πόσο κρίσιμη είναι η ετοιμότητα ειδικών αστυνομικών μονάδων. Η αύξηση της οδικής κυκλοφορίας και η πολυπλοκότητα των τροχαίων ατυχημάτων (ηλεκτρικά οχήματα, ADR μεταφορές) απαιτούν νέες δεξιότητες από την Τροχαία. Ο στρατός, στο πλαίσιο του NATO, καλείται να ανταποκριθεί σε ένα μεταβαλλόμενο γεωπολιτικό περιβάλλον με υβριδικές απειλές.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εκπαίδευση μέσω ασκήσεων — δηλαδή η συστηματική, σχεδιασμένη και αξιολογούμενη πρακτική εξάσκηση σε σενάρια που προσομοιώνουν πραγματικές καταστάσεις — αναγνωρίζεται διεθνώς ως ο αποτελεσματικότερος τρόπος γεφύρωσης του χάσματος μεταξύ θεωρητικής γνώσης και πεδινής εφαρμογής (Salas et al., 2012). Η αρχή αυτή ισχύει οριζόντια: στον στρατό μέσω στρατιωτικών ασκήσεων NATO, στην αστυνομία μέσω ασκήσεων αντιμετώπισης τρομοκρατίας και ελέγχου πλήθους, στην τροχαία μέσω σεναρίων μεγάλων ατυχημάτων, στο πυροσβεστικό μέσω ασκήσεων κατάσβεσης και διάσωσης. Η παρούσα εργασία εξετάζει τον ρόλο αυτής της εκπαιδευτικής διαδικασίας στη βελτίωση της επιχειρησιακής ετοιμότητας, αντλώντας τεκμήρια τόσο από τη διεθνή βιβλιογραφία όσο και από την ελληνική εμπειρία τεσσάρων βασικών πυλώνων: Ένοπλες Δυνάμεις, Ελληνική Αστυνομία, Τροχαία και Πυροσβεστικό Σώμα.</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Σκοπός της εργασίας είναι: (α) να αποσαφηνίσει την έννοια της επιχειρησιακής ετοιμότητας και τις διαστάσεις της σε σώματα ασφαλείας και ένοπλες δυνάμεις, (β) να αναλύσει τον τρόπο με τον οποίο οι ασκήσεις — στρατιωτικές, αστυνομικές, πυροσβεστικές και πολυφορεακές — συμβάλλουν στη σωματική, τεχνική, ψυχολογική και οργανωσιακή ετοιμότητα, (γ) να αξιολογήσει τη διεθνή και ελληνική εμπειρία μέσα από πραγματικά case studies, και (δ) να διατυπώσει τεκμηριωμένες προτάσεις βελτίωσης.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επιλογή ευρείας θεματικής — σώματα ασφαλείας και ένοπλες δυνάμεις αντί μεμονωμένου φορέα — είναι σκόπιμη. Οι κρίσεις σπάνια αντιμετωπίζονται από ένα μόνο σώμα: μια δασική πυρκαγιά απαιτεί τη συνεργασία Πυροσβεστικού, Αστυνομίας (εκκένωση, κυκλοφοριακές ρυθμίσεις) και ενίοτε Στρατού (εναέρια μέσα, μηχανήματα). Ένα τρομοκρατικό χτύπημα κινητοποιεί ΕΚΑΜ, αστυνομία, ΕΚΑΒ και ΠΣ ταυτόχρονα. Ένα μεγάλο τροχαίο ατύχημα στον αυτοκινητόδρομο απαιτεί Τροχαία, Πυροσβεστική (απεγκλωβισμός) και υγειονομικές υπηρεσίες. Η διυπηρεσιακή ετοιμότητα — η ικανότητα πολλών φορέων να συνεργαστούν αποτελεσματικά — αποτελεί ίσως τη σημαντικότερη διάσταση που μπορεί να εξασκηθεί μόνο μέσω κοινών ασκήσεων.</w:t>
      </w:r>
    </w:p>
    <w:p>
      <w:pPr>
        <w:spacing w:after="200" w:before="360" w:line="360"/>
        <w:jc w:val="left"/>
      </w:pPr>
      <w:r>
        <w:rPr>
          <w:rFonts w:ascii="Times New Roman" w:cs="Times New Roman" w:eastAsia="Times New Roman" w:hAnsi="Times New Roman"/>
          <w:b/>
          <w:bCs/>
          <w:i w:val="false"/>
          <w:iCs w:val="false"/>
          <w:sz w:val="26"/>
          <w:szCs w:val="26"/>
        </w:rPr>
        <w:t xml:space="preserve">Μεθοδολογική προσέγγιση</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μεθοδολογία στηρίζεται στη βιβλιογραφική ανασκόπηση και στην ανάλυση δευτερογενών πηγών. Αξιοποιήθηκαν: (α) ακαδημαϊκά άρθρα από διεθνείς βάσεις δεδομένων (Scopus, Google Scholar, PubMed), (β) βιβλία αναφοράς, (γ) εκθέσεις ευρωπαϊκών και ελληνικών φορέων (European Commission, EFFIS, NATO, Γενική Γραμματεία Πολιτικής Προστασίας), (δ) θεσμικά κείμενα σωμάτων ασφαλείας, και (ε) ανοιχτά δεδομένα από ασκήσεις (MODEX, NATO exercises, Europol). Η ανάλυση ακολουθεί αφαιρετική λογική: ξεκινά από γενικές θεωρίες, εστιάζει στα επιμέρους σώματα, και καταλήγει σε παραδείγματα και προτάσεις.</w:t>
      </w:r>
    </w:p>
    <w:p>
      <w:pPr>
        <w:spacing w:after="200" w:before="360" w:line="360"/>
        <w:jc w:val="left"/>
      </w:pPr>
      <w:r>
        <w:rPr>
          <w:rFonts w:ascii="Times New Roman" w:cs="Times New Roman" w:eastAsia="Times New Roman" w:hAnsi="Times New Roman"/>
          <w:b/>
          <w:bCs/>
          <w:i w:val="false"/>
          <w:iCs w:val="false"/>
          <w:sz w:val="26"/>
          <w:szCs w:val="26"/>
        </w:rPr>
        <w:t xml:space="preserve">Δομή της εργασίας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εργασία αρθρώνεται σε έξι αριθμημένα κεφάλαια, πλαισιωμένα από την παρούσα εισαγωγή (μη αριθμημένη) και τη βιβλιογραφία (μη αριθμημένη). Στο Κεφάλαιο 1 παρουσιάζεται το θεωρητικό πλαίσιο: η έννοια της επιχειρησιακής ετοιμότητας, η βιωματική μάθηση (Kolb), η στοχευμένη εξάσκηση (Ericsson) και οι μη τεχνικές δεξιότητες (Flin). Το Κεφάλαιο 2 παρουσιάζει τα σώματα ασφαλείας και τις ένοπλες δυνάμεις: αποστολή, δομή, επιχειρησιακές απαιτήσεις στρατού, αστυνομίας, τροχαίας και πυροσβεστικού.</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Το Κεφάλαιο 3 αναλύει τα εκπαιδευτικά συστήματα και τους τύπους ασκήσεων κάθε σώματος. Το Κεφάλαιο 4 εξετάζει την επίδραση των ασκήσεων σε κάθε διάσταση ετοιμότητας — σωματική, τεχνική, ψυχολογική, οργανωσιακή — με αναφορές σε ερευνητικά δεδομένα. Το Κεφάλαιο 5 παρουσιάζει τη διεθνή συνεργασία και τέσσερα case studies: πυρκαγιά Μάτι (ΠΣ), ασκήσεις MODEX (πολιτική προστασία), στρατιωτικές ασκήσεις NATO, αστυνομική εκπαίδευση αντιτρομοκρατίας. Το Κεφάλαιο 6 εξετάζει τον ρόλο της τεχνολογίας. Τέλος, στα Συμπεράσματα συνοψίζονται τα ευρήματα και διατυπώνονται προτάσεις.</w:t>
      </w:r>
    </w:p>
    <w:p>
      <w:pPr>
        <w:pageBreakBefore/>
        <w:spacing w:after="240" w:before="480" w:line="360"/>
        <w:jc w:val="center"/>
      </w:pPr>
      <w:r>
        <w:rPr>
          <w:rFonts w:ascii="Times New Roman" w:cs="Times New Roman" w:eastAsia="Times New Roman" w:hAnsi="Times New Roman"/>
          <w:b/>
          <w:bCs/>
          <w:i w:val="false"/>
          <w:iCs w:val="false"/>
          <w:sz w:val="28"/>
          <w:szCs w:val="28"/>
        </w:rPr>
        <w:t xml:space="preserve">ΚΕΦΑΛΑΙΟ 1: ΘΕΩΡΗΤΙΚΟ ΠΛΑΙΣΙΟ — ΕΠΙΧΕΙΡΗΣΙΑΚΗ ΕΤΟΙΜΟΤΗΤΑ ΚΑΙ ΕΚΠΑΙΔΕΥΣΗ</w:t>
      </w:r>
    </w:p>
    <w:p>
      <w:pPr>
        <w:spacing w:after="200" w:before="360" w:line="360"/>
        <w:jc w:val="left"/>
      </w:pPr>
      <w:r>
        <w:rPr>
          <w:rFonts w:ascii="Times New Roman" w:cs="Times New Roman" w:eastAsia="Times New Roman" w:hAnsi="Times New Roman"/>
          <w:b/>
          <w:bCs/>
          <w:i w:val="false"/>
          <w:iCs w:val="false"/>
          <w:sz w:val="26"/>
          <w:szCs w:val="26"/>
        </w:rPr>
        <w:t xml:space="preserve">1.1 Η έννοια της επιχειρησιακής ετοιμότητας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επιχειρησιακή ετοιμότητα (operational readiness) ορίζεται ως ο βαθμός στον οποίο ένα άτομο, μια ομάδα ή ένας οργανισμός διαθέτει τις αναγκαίες ικανότητες, πόρους και δομές ώστε να ανταποκριθεί άμεσα και αποτελεσματικά σε μια κατάσταση που απαιτεί δράση. Ο όρος χρησιμοποιείται σε ευρύ φάσμα πλαισίων — στρατιωτικό, αστυνομικό, πυροσβεστικό, υγειονομικό — και κάθε φορά αποκτά ελαφρώς διαφορετικές αποχρώσεις. Στον στρατό, η ετοιμότητα αφορά τη δυνατότητα κινητοποίησης δυνάμεων σε ελάχιστο χρόνο. Στην αστυνομία, σημαίνει ικανότητα αντίδρασης σε εγκληματικές ενέργειες ή κρίσεις δημόσιας τάξης. Στο πυροσβεστικό, αφορά τη δυνατότητα κατάσβεσης, διάσωσης και αντιμετώπισης καταστροφών. Σε κάθε περίπτωση, η ετοιμότητα δεν αποτελεί στατική κατάσταση αλλά δυναμική διεργασία που απαιτεί συνεχή συντήρηση μέσω εκπαίδευσης, αξιολόγησης και οργανωσιακής μάθησης (Salas et al., 2008).</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βιβλιογραφία διακρίνει τέσσερις αλληλένδετες διαστάσεις. Η σωματική ετοιμότητα αφορά τη φυσική αντοχή, τη μυϊκή δύναμη και τη λειτουργική ικανότητα — κρίσιμη τόσο για τον πυροσβέστη που μεταφέρει εξοπλισμό 25 κιλών σε πυρκαγιά, όσο και για τον στρατιώτη που πορεύεται με πλήρη εξάρτυση, ή τον αστυνομικό της ΕΚΑΜ που επιχειρεί σε κτίριο. Η τεχνική ετοιμότητα αναφέρεται στη γνώση εξοπλισμού, τακτικών και διαδικασιών: χειρισμός όπλων (αστυνομία, στρατός), τακτικές κατάσβεσης (ΠΣ), χρήση ραντάρ και αλκοτέστ (τροχαία), χειρισμός αρμάτων (στρατός).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ψυχολογική ετοιμότητα περιλαμβάνει τη διαχείριση στρες, τη διατήρηση συγκέντρωσης υπό πίεση, τον έλεγχο συναισθηματικών αντιδράσεων και τη λήψη αποφάσεων σε καταστάσεις αβεβαιότητας. Η σημασία της υπερβαίνει κλαδικά όρια: ο αστυνομικός που πρέπει να αποφασίσει σε κλάσματα δευτερολέπτου αν θα χρησιμοποιήσει βία, ο στρατιώτης σε σημείο ελέγχου που αξιολογεί αν ένα όχημα αποτελεί απειλή, ο πυροσβέστης που εκτιμά αν ένα κτίριο θα καταρρεύσει — όλοι αντιμετωπίζουν αποφάσεις ζωής και θανάτου υπό ψυχολογική πίεση. Η επαναλαμβανόμενη έκθεση σε τέτοιες καταστάσεις αποτελεί παράγοντα κινδύνου για PTSD (Kleim &amp; Westphal, 2011· Jahnke et al., 2016). Τέλος, η οργανωσιακή ετοιμότητα αφορά τον συντονισμό, την κατανομή ρόλων, τις επικοινωνιακές δομές και τη διαθεσιμότητα πόρων.</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Οι τέσσερις διαστάσεις αλληλεπιδρούν: εξαιρετική τεχνική κατάρτιση χωρίς ψυχολογική ανθεκτικότητα καταρρέει υπό πίεση. Υψηλή ψυχολογική ανθεκτικότητα χωρίς τεχνική γνώση οδηγεί σε αυτοπεποίθηση χωρίς ικανότητα. Αυτή η αλληλεπίδραση τεκμηριώνει γιατί η εκπαίδευση μέσω ασκήσεων — που κινητοποιεί ταυτόχρονα όλες τις διαστάσεις — θεωρείται ανώτερη από τη μονοδιάστατη εκπαίδευση (Salas et al., 2012).</w:t>
      </w:r>
    </w:p>
    <w:p>
      <w:pPr>
        <w:spacing w:after="200" w:before="360" w:line="360"/>
        <w:jc w:val="left"/>
      </w:pPr>
      <w:r>
        <w:rPr>
          <w:rFonts w:ascii="Times New Roman" w:cs="Times New Roman" w:eastAsia="Times New Roman" w:hAnsi="Times New Roman"/>
          <w:b/>
          <w:bCs/>
          <w:i w:val="false"/>
          <w:iCs w:val="false"/>
          <w:sz w:val="26"/>
          <w:szCs w:val="26"/>
        </w:rPr>
        <w:t xml:space="preserve">1.2 Παράγοντες που επηρεάζουν την ετοιμότητα</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ποιότητα και η συχνότητα της εκπαίδευσης αποτελούν τον κυριότερο παράγοντα: η συστηματική εξάσκηση επιτρέπει τη διατήρηση δεξιοτήτων που διαφορετικά φθίνουν. Στον στρατό, αυτό μεταφράζεται σε τακτικές ασκήσεις βολής, τακτικές και στρατηγικές ασκήσεις πεδίου. Στην αστυνομία, σε σκοποβολή, ασκήσεις σύλληψης, σενάρια ομηρίας. Στην τροχαία, σε εκπαίδευση κατάλληλης αντίδρασης σε τροχαία ατυχήματα μεγάλης κλίμακας. Στο ΠΣ, σε ασκήσεις κατάσβεσης και διάσωσης.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εμπειρία — τόσο από πραγματικά περιστατικά όσο και από ρεαλιστικές ασκήσεις — ενισχύει τη γνωστική ευελιξία. Η ηγεσία καθορίζει τον βαθμό στον οποίο η εκπαίδευση τίθεται ως οργανωσιακή προτεραιότητα. Τέλος, η ομαδική συνοχή — η αλληλογνωριμία, η εμπιστοσύνη και η κοινή επιχειρησιακή νοοτροπία — αποτελεί τον παράγοντα που μετατρέπει τις ατομικές ικανότητες σε συντονισμένη ομαδική απόδοση. Αυτό ισχύει εξίσου για ένα πυροσβεστικό πλήρωμα, μια διμοιρία πεζικού, μια ομάδα ΕΚΑΜ ή ένα συνεργείο τροχαίας (Flin et al., 2008).</w:t>
      </w:r>
    </w:p>
    <w:p>
      <w:pPr>
        <w:spacing w:after="200" w:before="360" w:line="360"/>
        <w:jc w:val="left"/>
      </w:pPr>
      <w:r>
        <w:rPr>
          <w:rFonts w:ascii="Times New Roman" w:cs="Times New Roman" w:eastAsia="Times New Roman" w:hAnsi="Times New Roman"/>
          <w:b/>
          <w:bCs/>
          <w:i w:val="false"/>
          <w:iCs w:val="false"/>
          <w:sz w:val="26"/>
          <w:szCs w:val="26"/>
        </w:rPr>
        <w:t xml:space="preserve">1.3 Θεωρίες μάθησης και εκπαίδευσης ενηλίκων</w:t>
      </w:r>
    </w:p>
    <w:p>
      <w:pPr>
        <w:spacing w:after="120" w:before="240" w:line="360"/>
        <w:jc w:val="left"/>
      </w:pPr>
      <w:r>
        <w:rPr>
          <w:rFonts w:ascii="Times New Roman" w:cs="Times New Roman" w:eastAsia="Times New Roman" w:hAnsi="Times New Roman"/>
          <w:b/>
          <w:bCs/>
          <w:i w:val="false"/>
          <w:iCs w:val="false"/>
          <w:sz w:val="24"/>
          <w:szCs w:val="24"/>
        </w:rPr>
        <w:t xml:space="preserve">1.3.1 Βιωματική μάθηση (Kolb)</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θεωρία της βιωματικής μάθησης του David Kolb (1984) αποτελεί θεμελιώδες εργαλείο κατανόησης. Σύμφωνα με τον Kolb, η μάθηση πραγματοποιείται μέσα από κυκλικό μηχανισμό τεσσάρων σταδίων: τη συγκεκριμένη εμπειρία (concrete experience), τη στοχαστική παρατήρηση (reflective observation), την αφηρημένη εννοιολόγηση (abstract conceptualization) και τον ενεργό πειραματισμό (active experimentation).</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Στο πλαίσιο των σωμάτων ασφαλείας, ο κύκλος Kolb αποκτά πρακτική αξία σε κάθε κλάδο. Για τον στρατιώτη: η συμμετοχή σε στρατιωτική άσκηση (εμπειρία), η ενημέρωση μετά τη μάχη — After Action Review (παρατήρηση), η σύνδεση με τακτικά δόγματα (εννοιολόγηση), η εφαρμογή στην επόμενη άσκηση (πειραματισμός). Για τον αστυνομικό: η εμπλοκή σε σενάριο ομηρίας σε εκπαιδευτικό κέντρο, η ανάλυση ενεργειών μετά, η σύνδεση με πρωτόκολλα, η βελτιωμένη δράση στο επόμενο σενάριο. Ο κύκλος αυτός τεκμηριώνει γιατί μεμονωμένες ασκήσεις δεν αρκούν: απαιτείται συστηματική επανάληψη με ανατροφοδότηση (Kolb et al., 2001).</w:t>
      </w:r>
    </w:p>
    <w:p>
      <w:pPr>
        <w:spacing w:after="120" w:before="240" w:line="360"/>
        <w:jc w:val="left"/>
      </w:pPr>
      <w:r>
        <w:rPr>
          <w:rFonts w:ascii="Times New Roman" w:cs="Times New Roman" w:eastAsia="Times New Roman" w:hAnsi="Times New Roman"/>
          <w:b/>
          <w:bCs/>
          <w:i w:val="false"/>
          <w:iCs w:val="false"/>
          <w:sz w:val="24"/>
          <w:szCs w:val="24"/>
        </w:rPr>
        <w:t xml:space="preserve">1.3.2 Στοχευμένη εξάσκηση (Ericsson)</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Ο K. Anders Ericsson (1993· 2006) τεκμηρίωσε ότι η ανάπτυξη εξειδικευμένης δεξιοτεχνίας δεν προκύπτει αυτομάτως από τη συσσώρευση ωρών εμπειρίας, αλλά μόνο όταν η εξάσκηση πληροί συγκεκριμένες προϋποθέσεις: σαφείς στόχους, ανατροφοδότηση, υψηλή συγκέντρωση, σταδιακή αύξηση δυσκολίας. Η «στοχευμένη εξάσκηση» (deliberate practice) προϋποθέτει ότι ο εκπαιδευόμενος εργάζεται στο όριο της ικανότητάς του.</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εφαρμογή στα σώματα ασφαλείας είναι καθολική. Ένας ελεύθερος σκοπευτής της ΕΚΑΜ δεν βελτιώνεται πυροβολώντας πάντα τον ίδιο στόχο στα 100 μέτρα — χρειάζεται κινούμενους στόχους, αντίξοες συνθήκες φωτισμού, ταυτόχρονη πίεση χρόνου. Ένας στρατιώτης των Ειδικών Δυνάμεων δεν βελτιώνεται επαναλαμβάνοντας γνωστές διαδρομές — χρειάζεται νέα εδάφη, απρόβλεπτα σενάρια, εναλλαγή ρόλων. Ένας πυροσβέστης δεν αρκεί να αναπτύσσει σωλήνες σε κενό πεδίο — χρειάζεται καπνό, θερμοκρασία, θόρυβο. Σε κάθε περίπτωση, η αρχή είναι η ίδια: η εξάσκηση πρέπει να προκαλεί, όχι απλώς να επαναλαμβάνει (Ericsson et al., 1993).</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Ένας στρατιώτης με 20 χρόνια υπηρεσίας δεν είναι κατ' ανάγκην καλύτερος από έναν με 10, εάν τα τελευταία χρόνια δεν εξασκήθηκε σε νέα σενάρια αλλά απλώς επανέλαβε ρουτίνες. Η εμπειρία χωρίς δομημένη μάθηση μπορεί να οδηγήσει σε στασιμότητα ή ακόμη και σε παγίωση λανθασμένων πρακτικών.</w:t>
      </w:r>
    </w:p>
    <w:p>
      <w:pPr>
        <w:spacing w:after="120" w:before="240" w:line="360"/>
        <w:jc w:val="left"/>
      </w:pPr>
      <w:r>
        <w:rPr>
          <w:rFonts w:ascii="Times New Roman" w:cs="Times New Roman" w:eastAsia="Times New Roman" w:hAnsi="Times New Roman"/>
          <w:b/>
          <w:bCs/>
          <w:i w:val="false"/>
          <w:iCs w:val="false"/>
          <w:sz w:val="24"/>
          <w:szCs w:val="24"/>
        </w:rPr>
        <w:t xml:space="preserve">1.3.3 Μη τεχνικές δεξιότητες — CRM</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έρευνα στα επαγγέλματα υψηλού κινδύνου κατέδειξε ότι η πλειονότητα των ατυχημάτων δεν οφείλεται σε τεχνική ανεπάρκεια, αλλά σε αστοχίες επικοινωνίας, συντονισμού, λήψης αποφάσεων και κατανόησης κατάστασης. Οι δεξιότητες αυτές — μη τεχνικές δεξιότητες (non-technical skills, NTS) — αναλύθηκαν από τους Flin, O'Connor και Crichton (2008) σε τέσσερις ομάδες: κατανόηση κατάστασης (situation awareness), λήψη αποφάσεων, επικοινωνία-ομαδικότητα, και ηγεσία.</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Παραδείγματα αστοχίας NTS σε σώματα ασφαλείας: στο Μάτι (2018), η ελλιπής επικοινωνία μεταξύ ΠΣ, ΕΛ.ΑΣ. και Πολιτικής Προστασίας οδήγησε σε χαοτική εκκένωση. Στο τροχαίο ατύχημα στα Τέμπη (2023), η αλυσίδα αστοχιών ξεκίνησε από ελλιπή συντονισμό σε οργανωσιακό επίπεδο. Σε στρατιωτικές επιχειρήσεις, η κακή μετάδοση πληροφοριών μεταξύ μονάδων αποτελεί κλασική αιτία φιλικών πυρών (friendly fire). Σε κάθε περίπτωση, οι NTS αναπτύσσονται μόνο μέσω πρακτικής εφαρμογής σε ρεαλιστικά σενάρια (Flin et al., 2008).</w:t>
      </w:r>
    </w:p>
    <w:p>
      <w:pPr>
        <w:spacing w:after="200" w:before="360" w:line="360"/>
        <w:jc w:val="left"/>
      </w:pPr>
      <w:r>
        <w:rPr>
          <w:rFonts w:ascii="Times New Roman" w:cs="Times New Roman" w:eastAsia="Times New Roman" w:hAnsi="Times New Roman"/>
          <w:b/>
          <w:bCs/>
          <w:i w:val="false"/>
          <w:iCs w:val="false"/>
          <w:sz w:val="26"/>
          <w:szCs w:val="26"/>
        </w:rPr>
        <w:t xml:space="preserve">1.4 Η εκπαίδευση σε επαγγέλματα υψηλού κινδύνου</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Τα επαγγέλματα υψηλού κινδύνου χαρακτηρίζονται από κοινές ιδιότητες: τα σφάλματα μπορεί να είναι μη αναστρέψιμα, οι αποφάσεις λαμβάνονται υπό πίεση, και η αποτελεσματικότητα εξαρτάται από ομαδική συνεργασία. Η αεροπορία αποτελεί πρότυπο: το σύστημα CRM (Crew Resource Management) αποτέλεσε υποχρεωτικό μέρος εκπαίδευσης κάθε πιλότου μετά τη συνειδητοποίηση ότι η πλειονότητα ατυχημάτων οφειλόταν σε ανθρώπινα λάθη. Αντίστοιχα μοντέλα εφαρμόζονται σήμερα στη χειρουργική, τη στρατιωτική εκπαίδευση (stress inoculation training) και τα σώματα ασφαλείας.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μετα-ανάλυση των Salas et al. (2008) — 93 μελέτες — κατέδειξε ότι η ομαδική εκπαίδευση βελτιώνει σημαντικά τόσο τις γνωστικές διεργασίες (κοινό νοητικό μοντέλο, κατανόηση κατάστασης) όσο και τη λειτουργική απόδοση (ταχύτητα αντίδρασης, μείωση σφαλμάτων). Η αποτελεσματικότητα εξαρτάται κυρίως από τον σχεδιασμό: σαφείς στόχοι, ρεαλιστικό σενάριο, δομημένη ανατροφοδότηση (debriefing) και σταδιακή αύξηση πολυπλοκότητας (Salas et al., 2012· Ericsson, 2006).</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Ο Πίνακας 1 παρουσιάζει σύγκριση εκπαιδευτικών μοντέλων σε διαφορετικά σώματα.</w:t>
      </w:r>
    </w:p>
    <w:p>
      <w:pPr>
        <w:spacing w:after="120" w:before="240" w:line="360"/>
        <w:jc w:val="center"/>
      </w:pPr>
      <w:r>
        <w:rPr>
          <w:rFonts w:ascii="Times New Roman" w:cs="Times New Roman" w:eastAsia="Times New Roman" w:hAnsi="Times New Roman"/>
          <w:b/>
          <w:bCs/>
          <w:i/>
          <w:iCs/>
          <w:sz w:val="22"/>
          <w:szCs w:val="22"/>
        </w:rPr>
        <w:t xml:space="preserve">Πίνακας 1: Εκπαιδευτικά μοντέλα σε σώματα ασφαλείας και ένοπλες δυνάμεις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color="D9E2F3" w:val="solid"/>
          </w:tcPr>
          <w:p>
            <w:pPr>
              <w:spacing w:after="60" w:before="60"/>
              <w:jc w:val="center"/>
            </w:pPr>
            <w:r>
              <w:rPr>
                <w:rFonts w:ascii="Times New Roman" w:cs="Times New Roman" w:eastAsia="Times New Roman" w:hAnsi="Times New Roman"/>
                <w:b/>
                <w:bCs/>
                <w:i w:val="false"/>
                <w:iCs w:val="false"/>
                <w:sz w:val="20"/>
                <w:szCs w:val="20"/>
              </w:rPr>
              <w:t xml:space="preserve">Σώμα/Κλάδος</w:t>
            </w:r>
          </w:p>
        </w:tc>
        <w:tc>
          <w:tcPr>
            <w:tcW w:type="pct" w:w="25%"/>
            <w:shd w:color="D9E2F3" w:val="solid"/>
          </w:tcPr>
          <w:p>
            <w:pPr>
              <w:spacing w:after="60" w:before="60"/>
              <w:jc w:val="center"/>
            </w:pPr>
            <w:r>
              <w:rPr>
                <w:rFonts w:ascii="Times New Roman" w:cs="Times New Roman" w:eastAsia="Times New Roman" w:hAnsi="Times New Roman"/>
                <w:b/>
                <w:bCs/>
                <w:i w:val="false"/>
                <w:iCs w:val="false"/>
                <w:sz w:val="20"/>
                <w:szCs w:val="20"/>
              </w:rPr>
              <w:t xml:space="preserve">Κύρια μέθοδος</w:t>
            </w:r>
          </w:p>
        </w:tc>
        <w:tc>
          <w:tcPr>
            <w:tcW w:type="pct" w:w="25%"/>
            <w:shd w:color="D9E2F3" w:val="solid"/>
          </w:tcPr>
          <w:p>
            <w:pPr>
              <w:spacing w:after="60" w:before="60"/>
              <w:jc w:val="center"/>
            </w:pPr>
            <w:r>
              <w:rPr>
                <w:rFonts w:ascii="Times New Roman" w:cs="Times New Roman" w:eastAsia="Times New Roman" w:hAnsi="Times New Roman"/>
                <w:b/>
                <w:bCs/>
                <w:i w:val="false"/>
                <w:iCs w:val="false"/>
                <w:sz w:val="20"/>
                <w:szCs w:val="20"/>
              </w:rPr>
              <w:t xml:space="preserve">Τύποι ασκήσεων</w:t>
            </w:r>
          </w:p>
        </w:tc>
        <w:tc>
          <w:tcPr>
            <w:tcW w:type="pct" w:w="25%"/>
            <w:shd w:color="D9E2F3" w:val="solid"/>
          </w:tcPr>
          <w:p>
            <w:pPr>
              <w:spacing w:after="60" w:before="60"/>
              <w:jc w:val="center"/>
            </w:pPr>
            <w:r>
              <w:rPr>
                <w:rFonts w:ascii="Times New Roman" w:cs="Times New Roman" w:eastAsia="Times New Roman" w:hAnsi="Times New Roman"/>
                <w:b/>
                <w:bCs/>
                <w:i w:val="false"/>
                <w:iCs w:val="false"/>
                <w:sz w:val="20"/>
                <w:szCs w:val="20"/>
              </w:rPr>
              <w:t xml:space="preserve">Βασική αναφορά</w:t>
            </w:r>
          </w:p>
        </w:tc>
      </w:tr>
      <w:tr>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Ένοπλες Δυνάμεις</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Στρατιωτικές ασκήσεις, SIT</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Πεδίου (FTX), CPX, LIVEX, NATO exercises</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Grossman &amp; Christensen, 2008</w:t>
            </w:r>
          </w:p>
        </w:tc>
      </w:tr>
      <w:tr>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ΕΛ.ΑΣ. / ΕΚΑΜ</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Σενάρια κρίσης, σκοποβολή</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Ασκήσεις ομηρίας, ελέγχου πλήθους, αντιτρομοκρατίας</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Flin et al., 2008</w:t>
            </w:r>
          </w:p>
        </w:tc>
      </w:tr>
      <w:tr>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Τροχαία</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Εκπαίδευση σε ατυχήματα</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Σενάρια πολύνεκρων, ADR, τροχονομικοί έλεγχοι</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Salas et al., 2012</w:t>
            </w:r>
          </w:p>
        </w:tc>
      </w:tr>
      <w:tr>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Πυροσβεστικό Σώμα</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Βασική + συνεχιζόμενη</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Πεδίου, table-top, MODEX, εξειδικευμένες</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Salas et al., 2008</w:t>
            </w:r>
          </w:p>
        </w:tc>
      </w:tr>
      <w:tr>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Λιμενικό Σώμα</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SAR εκπαίδευση</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Θαλάσσιες ασκήσεις, ρύπανση, μετανάστευση</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European Commission, 2021</w:t>
            </w:r>
          </w:p>
        </w:tc>
      </w:tr>
      <w:tr>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Αεροπορία</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CRM</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Υποχρεωτικές προσομοιώσεις</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Flin et al., 2008</w:t>
            </w:r>
          </w:p>
        </w:tc>
      </w:tr>
    </w:tbl>
    <w:p>
      <w:pPr>
        <w:spacing w:after="200"/>
      </w:pPr>
    </w:p>
    <w:p>
      <w:pPr>
        <w:pageBreakBefore/>
        <w:spacing w:after="240" w:before="480" w:line="360"/>
        <w:jc w:val="center"/>
      </w:pPr>
      <w:r>
        <w:rPr>
          <w:rFonts w:ascii="Times New Roman" w:cs="Times New Roman" w:eastAsia="Times New Roman" w:hAnsi="Times New Roman"/>
          <w:b/>
          <w:bCs/>
          <w:i w:val="false"/>
          <w:iCs w:val="false"/>
          <w:sz w:val="28"/>
          <w:szCs w:val="28"/>
        </w:rPr>
        <w:t xml:space="preserve">ΚΕΦΑΛΑΙΟ 2: ΤΑ ΣΩΜΑΤΑ ΑΣΦΑΛΕΙΑΣ ΚΑΙ ΟΙ ΕΝΟΠΛΕΣ ΔΥΝΑΜΕΙΣ — ΑΠΟΣΤΟΛΗ, ΔΟΜΗ ΚΑΙ ΕΠΙΧΕΙΡΗΣΙΑΚΕΣ ΑΠΑΙΤΗΣΕΙΣ</w:t>
      </w:r>
    </w:p>
    <w:p>
      <w:pPr>
        <w:spacing w:after="200" w:before="360" w:line="360"/>
        <w:jc w:val="left"/>
      </w:pPr>
      <w:r>
        <w:rPr>
          <w:rFonts w:ascii="Times New Roman" w:cs="Times New Roman" w:eastAsia="Times New Roman" w:hAnsi="Times New Roman"/>
          <w:b/>
          <w:bCs/>
          <w:i w:val="false"/>
          <w:iCs w:val="false"/>
          <w:sz w:val="26"/>
          <w:szCs w:val="26"/>
        </w:rPr>
        <w:t xml:space="preserve">2.1 Οι Ένοπλες Δυνάμεις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Οι Ελληνικές Ένοπλες Δυνάμεις (ΕΔ) αποτελούνται από τρεις κλάδους: τον Στρατό Ξηράς, το Πολεμικό Ναυτικό και την Πολεμική Αεροπορία. Η αποστολή τους — η εθνική άμυνα και η αποτροπή εξωτερικών απειλών — απαιτεί μόνιμη ετοιμότητα σε ένα γεωπολιτικό περιβάλλον που παραμένει ρευστό. Η Ελλάδα, ως μέλος του NATO από το 1952, συμμετέχει σε κοινές ασκήσεις, αποστολές και δομές ετοιμότητας της Συμμαχίας. Παράλληλα, οι ΕΔ αναλαμβάνουν ρόλους πολιτικής προστασίας: υποστήριξη σε πυρκαγιές (με εναέρια μέσα και μηχανικό), πλημμύρες, σεισμούς και ανθρωπιστικές κρίσεις.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φύση των σύγχρονων στρατιωτικών απειλών έχει μεταβληθεί ριζικά. Πέραν της κλασικής συμβατικής απειλής, οι ΕΔ αντιμετωπίζουν υβριδικές απειλές — κυβερνοεπιθέσεις, παραπληροφόρηση, χρήση μη επανδρωμένων αεροσκαφών (drones) σε πεδίο μάχης, ασύμμετρες τακτικές. Ο πόλεμος στην Ουκρανία (2022-) κατέδειξε ότι η συμβατική ετοιμότητα παραμένει κρίσιμη αλλά δεν αρκεί: οι μονάδες χρειάζονται ευελιξία, προσαρμοστικότητα και ικανότητα δράσης σε πολλαπλά πεδία (multi-domain operations). Η εκπαίδευση μέσω ασκήσεων — από ασκήσεις πεδίου (Field Training Exercises, FTX) μέχρι ασκήσεις διοίκησης (Command Post Exercises, CPX) — αποτελεί τον κεντρικό μηχανισμό προετοιμασίας.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Οι Ειδικές Δυνάμεις (1η Ταξιαρχία Καταδρομών-Αλεξιπτωτιστών) αποτελούν ιδιαίτερη περίπτωση: υποβάλλονται σε εντατική εκπαίδευση που περιλαμβάνει αλεξιπτωτισμό, υποβρύχιες καταστροφές, ανορθόδοξες επιχειρήσεις, εκπαίδευση σε ακραίες κλιματικές συνθήκες. Η εκπαίδευσή τους αποτελεί πρότυπο εφαρμογής της αρχής Ericsson: σταδιακή αύξηση δυσκολίας, ρεαλιστικά σενάρια, συνεχής αξιολόγηση.</w:t>
      </w:r>
    </w:p>
    <w:p>
      <w:pPr>
        <w:spacing w:after="120" w:before="240" w:line="360"/>
        <w:jc w:val="left"/>
      </w:pPr>
      <w:r>
        <w:rPr>
          <w:rFonts w:ascii="Times New Roman" w:cs="Times New Roman" w:eastAsia="Times New Roman" w:hAnsi="Times New Roman"/>
          <w:b/>
          <w:bCs/>
          <w:i w:val="false"/>
          <w:iCs w:val="false"/>
          <w:sz w:val="24"/>
          <w:szCs w:val="24"/>
        </w:rPr>
        <w:t xml:space="preserve">2.2 Η Ελληνική Αστυνομία (ΕΛ.ΑΣ.)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Ελληνική Αστυνομία αποτελεί σώμα ασφαλείας με ευρύτατο φάσμα αρμοδιοτήτων: πρόληψη και καταστολή εγκληματικότητας, διατήρηση δημόσιας τάξης, προστασία θεσμών, τροχονομικός έλεγχος, αντιμετώπιση τρομοκρατίας, διαχείριση μεταναστευτικών ροών, ασφάλεια υψηλών προσώπων. Η πολυμορφία αυτή δημιουργεί αντίστοιχα ποικίλες εκπαιδευτικές ανάγκες.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Ειδική Κατασταλτική Αντιτρομοκρατική Μονάδα (ΕΚΑΜ), αντίστοιχη των GIGN (Γαλλία), GSG-9 (Γερμανία) και SAS (Ηνωμένο Βασίλειο), αποτελεί τη μονάδα αιχμής της ΕΛ.ΑΣ. για επιχειρήσεις υψηλού κινδύνου: ομηρίες, αντιτρομοκρατικές επιχειρήσεις, ένοπλες συλλήψεις. Η εκπαίδευσή της περιλαμβάνει ακριβοβολία (sniper training), εισβολή σε κτίρια (CQB — Close Quarters Battle), αυτοδιάσωση, ταχεία κατάσχεση, πρώτες βοήθειες υπό πυρά (TCCC — Tactical Combat Casualty Care). Η μονάδα εκπαιδεύεται σε συνεργασία με αντίστοιχες μονάδες του εξωτερικού και συμμετέχει σε ασκήσεις υπό την αιγίδα της Europol (ATLAS Network).</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Πέραν της ΕΚΑΜ, η ΕΛ.ΑΣ. διαθέτει μονάδες με εξειδικευμένες ανάγκες εκπαίδευσης: τα Μ.Α.Τ. (Μονάδες Αποκατάστασης Τάξης), που εκπαιδεύονται σε σχηματισμούς ελέγχου πλήθους, χρήση δακρυγόνων, αντιμετώπιση επεισοδίων· τις μονάδες Δίωξης Ναρκωτικών, που απαιτούν εξειδίκευση σε μεθόδους παρακολούθησης και σύλληψης· και τις μονάδες Ηλεκτρονικού Εγκλήματος (Cyber Crime), που απαιτούν συνεχή ενημέρωση για νέες ψηφιακές απειλές. Σε κάθε περίπτωση, η θεωρητική εκπαίδευση δεν αρκεί: η πρακτική εξάσκηση σε ρεαλιστικά σενάρια αποτελεί αναγκαιότητα.</w:t>
      </w:r>
    </w:p>
    <w:p>
      <w:pPr>
        <w:spacing w:after="200" w:before="360" w:line="360"/>
        <w:jc w:val="left"/>
      </w:pPr>
      <w:r>
        <w:rPr>
          <w:rFonts w:ascii="Times New Roman" w:cs="Times New Roman" w:eastAsia="Times New Roman" w:hAnsi="Times New Roman"/>
          <w:b/>
          <w:bCs/>
          <w:i w:val="false"/>
          <w:iCs w:val="false"/>
          <w:sz w:val="26"/>
          <w:szCs w:val="26"/>
        </w:rPr>
        <w:t xml:space="preserve">2.3 Η Τροχαία Αστυνομία</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Τροχαία αποτελεί εξειδικευμένη υπηρεσία της ΕΛ.ΑΣ. με αποστολή τη ρύθμιση και τον έλεγχο της κυκλοφορίας, την πρόληψη τροχαίων ατυχημάτων, τη διερεύνηση ατυχημάτων, τις κυκλοφοριακές ρυθμίσεις σε εκδηλώσεις και κρίσεις, και τον έλεγχο μεταφοράς επικίνδυνων φορτίων (ADR). Παρά τη φαινομενικά «ρουτινική» φύση του έργου της, η Τροχαία αντιμετωπίζει καταστάσεις υψηλής επικινδυνότητας με αξιοσημείωτη συχνότητα.</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Ελλάδα κατατάσσεται σταθερά μεταξύ των χωρών της ΕΕ με τα υψηλότερα ποσοστά θανάτων από τροχαία ατυχήματα ανά πληθυσμό. Το 2022, καταγράφηκαν περίπου 600 νεκροί σε τροχαία, ενώ ο αριθμός τραυματιών ανέρχεται σε χιλιάδες ετησίως. Η αντιμετώπιση ενός μεγάλου τροχαίου ατυχήματος — ιδίως σε αυτοκινητόδρομο ή σε σήραγγα — απαιτεί ταχύτατη κινητοποίηση, σωστή ρύθμιση κυκλοφορίας (αποφυγή δευτερογενών ατυχημάτων), συντονισμό με ΠΣ (απεγκλωβισμός) και ΕΚΑΒ (διακομιδή τραυματιών), και ενδεχομένως αντιμετώπιση διαρροής επικίνδυνων υλικών.</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τραγωδία στα Τέμπη (Φεβρουάριος 2023), η σύγκρουση δύο τρένων που κόστισε τη ζωή σε 57 ανθρώπους, ανέδειξε τη σημασία του συντονισμού σε σύνθετα ατυχήματα. Αν και δεν αποτελούσε τροχαίο ατύχημα με τη στενή έννοια, η κρίση κινητοποίησε Πυροσβεστική, Αστυνομία, ΕΚΑΒ και Στρατό σε μια κατάσταση χάους — με ελλιπή επικοινωνία, αδυναμία πρόσβασης, πολλαπλά θύματα. Η εμπειρία αυτή τεκμηρίωσε ότι η πρακτική εξάσκηση σε σενάρια πολύνεκρων ατυχημάτων πρέπει να αποτελεί τακτική υποχρέωση, όχι σπάνιο γεγονός.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εκπαίδευση της Τροχαίας περιλαμβάνει: τεχνικές οδήγησης υπό αντίξοες συνθήκες (pursuit driving), χρήση αλκοτέστ και ναρκοτέστ, διερεύνηση ατυχημάτων (αναπαράσταση, ιχνηλασία), κυκλοφοριακές ρυθμίσεις μεγάλης κλίμακας, και αντιμετώπιση πολύνεκρων ατυχημάτων. Ωστόσο, η πρακτική εξάσκηση μέσω ρεαλιστικών σεναρίων παραμένει περιορισμένη σε σχέση με τα αντίστοιχα προγράμματα πυροσβεστικών ή στρατιωτικών ασκήσεων — γεγονός που αποτελεί σημαντική ευκαιρία βελτίωσης.</w:t>
      </w:r>
    </w:p>
    <w:p>
      <w:pPr>
        <w:spacing w:after="200" w:before="360" w:line="360"/>
        <w:jc w:val="left"/>
      </w:pPr>
      <w:r>
        <w:rPr>
          <w:rFonts w:ascii="Times New Roman" w:cs="Times New Roman" w:eastAsia="Times New Roman" w:hAnsi="Times New Roman"/>
          <w:b/>
          <w:bCs/>
          <w:i w:val="false"/>
          <w:iCs w:val="false"/>
          <w:sz w:val="26"/>
          <w:szCs w:val="26"/>
        </w:rPr>
        <w:t xml:space="preserve">2.4 Το Πυροσβεστικό Σώμα</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Το Πυροσβεστικό Σώμα (ΠΣ) αποτελεί σώμα ασφαλείας που υπάγεται στο Υπουργείο Κλιματικής Κρίσης και Πολιτικής Προστασίας. Η αποστολή του περιλαμβάνει κατάσβεση αστικών και δασικών πυρκαγιών, διάσωση ατόμων και περιουσιών, αντιμετώπιση φυσικών και τεχνολογικών καταστροφών, και συμμετοχή στον σχεδιασμό πολιτικής προστασίας. Ιδιαίτερο ρόλο παίζει η ΕΜΑΚ (Ειδική Μονάδα Αντιμετώπισης Καταστροφών), εξειδικευμένη σε USAR (Urban Search and Rescue) σύμφωνα με τα πρότυπα INSARAG (2020). Η ΕΜΑΚ έχει συμμετάσχει σε διεθνείς αποστολές, όπως ο σεισμός στην Τουρκία (2023).</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κλιματική αλλαγή έχει αυξήσει δραματικά τις απαιτήσεις. Η πυρκαγιά στο Μάτι (2018) με 104 νεκρούς, οι πυρκαγιές σε Εύβοια και Αττική (2021) που αποτέφρωσαν πάνω από 125.000 εκτάρια, η καταστροφική πυρκαγιά στην Αλεξανδρούπολη (2023) — η μεγαλύτερη στην ιστορία της ΕΕ — αναδεικνύουν ότι ο ρόλος του ΠΣ γίνεται ολοένα πιο κρίσιμος και πιο σύνθετος (Lagouvardos et al., 2019).</w:t>
      </w:r>
    </w:p>
    <w:p>
      <w:pPr>
        <w:spacing w:after="200" w:before="360" w:line="360"/>
        <w:jc w:val="left"/>
      </w:pPr>
      <w:r>
        <w:rPr>
          <w:rFonts w:ascii="Times New Roman" w:cs="Times New Roman" w:eastAsia="Times New Roman" w:hAnsi="Times New Roman"/>
          <w:b/>
          <w:bCs/>
          <w:i w:val="false"/>
          <w:iCs w:val="false"/>
          <w:sz w:val="26"/>
          <w:szCs w:val="26"/>
        </w:rPr>
        <w:t xml:space="preserve">2.5 Κοινές επιχειρησιακές απαιτήσεις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Παρά τις διαφορές αποστολής, τα σώματα ασφαλείας και οι ένοπλες δυνάμεις μοιράζονται κοινά χαρακτηριστικά: λήψη αποφάσεων υπό πίεση, ανάγκη ομαδικής συνεργασίας, σωματική καταπόνηση, ψυχολογική πίεση, και ανάγκη συντονισμού με άλλους φορείς. Η καρδιαγγειακή καταπόνηση αποτελεί κίνδυνο τόσο για πυροσβέστες (Soteriades et al., 2011) όσο και για αστυνομικούς και στρατιωτικούς σε εντατικές επιχειρήσεις. Η ψυχολογική φθορά — PTSD, κατάθλιψη, εξουθένωση — αφορά εξίσου αστυνομικούς που εκτίθενται σε βία, πυροσβέστες σε τραυματικά γεγονότα, και στρατιωτικούς σε πολεμικές συνθήκες (Kleim &amp; Westphal, 2011).</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Ένα πρόσθετο κοινό χαρακτηριστικό αφορά την ανάγκη λειτουργίας υπό νομικό πλαίσιο. Ο στρατιώτης λειτουργεί υπό τους κανόνες εμπλοκής (Rules of Engagement — ROE). Ο αστυνομικός υπό τον Κώδικα Αστυνομικής Δεοντολογίας και τη νομοθεσία χρήσης βίας. Ο πυροσβέστης υπό κανονισμούς ασφαλείας και εσωτερικής λειτουργίας. Ο τροχονόμος υπό τον Κώδικα Οδικής Κυκλοφορίας. Αυτό σημαίνει ότι η εκπαίδευση δεν αφορά μόνο την τεχνική ικανότητα αλλά και τη νομική ορθότητα: ο εκπαιδευόμενος πρέπει να μάθει όχι μόνο πώς να δρα, αλλά και πότε, πόσο και εντός ποιων ορίων. Η εξάσκηση σε σενάρια που ενσωματώνουν νομικά διλήμματα — π.χ. αναλογικότητα βίας, αυτοπροστασία vs. κίνδυνος πολιτών — αποτελεί ουσιώδη πτυχή που συχνά υποτιμάται.</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κρισιμότερη κοινή απαίτηση, ωστόσο, αφορά τον διυπηρεσιακό συντονισμό. Σχεδόν κάθε μεγάλη κρίση απαιτεί ταυτόχρονη δράση πολλαπλών φορέων: μια τρομοκρατική επίθεση κινητοποιεί ΕΚΑΜ, ΕΛ.ΑΣ., ΠΣ, ΕΚΑΒ, στρατό. Μια μεγάλη πυρκαγιά απαιτεί ΠΣ, Αστυνομία (εκκένωση), Στρατό (εναέρια μέσα), Πολιτική Προστασία. Ένα πολύνεκρο τροχαίο ενεργοποιεί Τροχαία, ΠΣ, ΕΚΑΒ. Η ικανότητα αποτελεσματικής συνεργασίας μεταξύ φορέων — κοινή γλώσσα, κοινά πρωτόκολλα, αλληλογνωριμία — αποκτάται αποκλειστικά μέσω κοινών ασκήσεων.</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Ο Πίνακας 2 παρουσιάζει τις βασικές επιχειρησιακές απαιτήσεις κάθε σώματος.</w:t>
      </w:r>
    </w:p>
    <w:p>
      <w:pPr>
        <w:spacing w:after="120" w:before="240" w:line="360"/>
        <w:jc w:val="center"/>
      </w:pPr>
      <w:r>
        <w:rPr>
          <w:rFonts w:ascii="Times New Roman" w:cs="Times New Roman" w:eastAsia="Times New Roman" w:hAnsi="Times New Roman"/>
          <w:b/>
          <w:bCs/>
          <w:i/>
          <w:iCs/>
          <w:sz w:val="22"/>
          <w:szCs w:val="22"/>
        </w:rPr>
        <w:t xml:space="preserve">Πίνακας 2: Βασικές επιχειρησιακές απαιτήσεις ανά σώμα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color="D9E2F3" w:val="solid"/>
          </w:tcPr>
          <w:p>
            <w:pPr>
              <w:spacing w:after="60" w:before="60"/>
              <w:jc w:val="center"/>
            </w:pPr>
            <w:r>
              <w:rPr>
                <w:rFonts w:ascii="Times New Roman" w:cs="Times New Roman" w:eastAsia="Times New Roman" w:hAnsi="Times New Roman"/>
                <w:b/>
                <w:bCs/>
                <w:i w:val="false"/>
                <w:iCs w:val="false"/>
                <w:sz w:val="20"/>
                <w:szCs w:val="20"/>
              </w:rPr>
              <w:t xml:space="preserve">Σώμα</w:t>
            </w:r>
          </w:p>
        </w:tc>
        <w:tc>
          <w:tcPr>
            <w:tcW w:type="pct" w:w="20%"/>
            <w:shd w:color="D9E2F3" w:val="solid"/>
          </w:tcPr>
          <w:p>
            <w:pPr>
              <w:spacing w:after="60" w:before="60"/>
              <w:jc w:val="center"/>
            </w:pPr>
            <w:r>
              <w:rPr>
                <w:rFonts w:ascii="Times New Roman" w:cs="Times New Roman" w:eastAsia="Times New Roman" w:hAnsi="Times New Roman"/>
                <w:b/>
                <w:bCs/>
                <w:i w:val="false"/>
                <w:iCs w:val="false"/>
                <w:sz w:val="20"/>
                <w:szCs w:val="20"/>
              </w:rPr>
              <w:t xml:space="preserve">Σωματικές απαιτήσεις</w:t>
            </w:r>
          </w:p>
        </w:tc>
        <w:tc>
          <w:tcPr>
            <w:tcW w:type="pct" w:w="20%"/>
            <w:shd w:color="D9E2F3" w:val="solid"/>
          </w:tcPr>
          <w:p>
            <w:pPr>
              <w:spacing w:after="60" w:before="60"/>
              <w:jc w:val="center"/>
            </w:pPr>
            <w:r>
              <w:rPr>
                <w:rFonts w:ascii="Times New Roman" w:cs="Times New Roman" w:eastAsia="Times New Roman" w:hAnsi="Times New Roman"/>
                <w:b/>
                <w:bCs/>
                <w:i w:val="false"/>
                <w:iCs w:val="false"/>
                <w:sz w:val="20"/>
                <w:szCs w:val="20"/>
              </w:rPr>
              <w:t xml:space="preserve">Τεχνικές απαιτήσεις</w:t>
            </w:r>
          </w:p>
        </w:tc>
        <w:tc>
          <w:tcPr>
            <w:tcW w:type="pct" w:w="20%"/>
            <w:shd w:color="D9E2F3" w:val="solid"/>
          </w:tcPr>
          <w:p>
            <w:pPr>
              <w:spacing w:after="60" w:before="60"/>
              <w:jc w:val="center"/>
            </w:pPr>
            <w:r>
              <w:rPr>
                <w:rFonts w:ascii="Times New Roman" w:cs="Times New Roman" w:eastAsia="Times New Roman" w:hAnsi="Times New Roman"/>
                <w:b/>
                <w:bCs/>
                <w:i w:val="false"/>
                <w:iCs w:val="false"/>
                <w:sz w:val="20"/>
                <w:szCs w:val="20"/>
              </w:rPr>
              <w:t xml:space="preserve">Ψυχολογικές απαιτήσεις</w:t>
            </w:r>
          </w:p>
        </w:tc>
        <w:tc>
          <w:tcPr>
            <w:tcW w:type="pct" w:w="20%"/>
            <w:shd w:color="D9E2F3" w:val="solid"/>
          </w:tcPr>
          <w:p>
            <w:pPr>
              <w:spacing w:after="60" w:before="60"/>
              <w:jc w:val="center"/>
            </w:pPr>
            <w:r>
              <w:rPr>
                <w:rFonts w:ascii="Times New Roman" w:cs="Times New Roman" w:eastAsia="Times New Roman" w:hAnsi="Times New Roman"/>
                <w:b/>
                <w:bCs/>
                <w:i w:val="false"/>
                <w:iCs w:val="false"/>
                <w:sz w:val="20"/>
                <w:szCs w:val="20"/>
              </w:rPr>
              <w:t xml:space="preserve">Τυπικά σενάρια</w:t>
            </w:r>
          </w:p>
        </w:tc>
      </w:tr>
      <w:tr>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Ένοπλες Δυνάμεις</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Πορείες, μάχη, φόρτωση</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Χειρισμός οπλισμού, τακτική</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Μάχη, αβεβαιότητα, φόβος</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Πόλεμος, ειρηνευτικές αποστολές</w:t>
            </w:r>
          </w:p>
        </w:tc>
      </w:tr>
      <w:tr>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ΕΛ.ΑΣ./ΕΚΑΜ</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Εισβολές, καταδιώξεις</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Σκοποβολή, CQB, συλλήψεις</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Ομηρίες, πυροβολισμοί</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Τρομοκρατία, ληστεία, πλήθη</w:t>
            </w:r>
          </w:p>
        </w:tc>
      </w:tr>
      <w:tr>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Τροχαία</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Παρατεταμένη ορθοστασία</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Ρυθμίσεις, ADR, διερεύνηση</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Θανατηφόρα ατυχήματα</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Τροχαία, εκδηλώσεις</w:t>
            </w:r>
          </w:p>
        </w:tc>
      </w:tr>
      <w:tr>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ΠΣ</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Μεταφορά εξοπλισμού, θερμότητα</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Κατάσβεση, διάσωση, USAR</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Τραύμα, καπνός, κίνδυνος</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Πυρκαγιές, σεισμοί, πλημμύρες</w:t>
            </w:r>
          </w:p>
        </w:tc>
      </w:tr>
      <w:tr>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Λιμενικό</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Θαλάσσιες επιχειρήσεις</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Ναυσιπλοΐα, SAR</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Ακραίες καιρικές συνθήκες</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Ναυάγια, ρύπανση, μετανάστευση</w:t>
            </w:r>
          </w:p>
        </w:tc>
      </w:tr>
    </w:tbl>
    <w:p>
      <w:pPr>
        <w:spacing w:after="200"/>
      </w:pPr>
    </w:p>
    <w:p>
      <w:pPr>
        <w:pageBreakBefore/>
        <w:spacing w:after="240" w:before="480" w:line="360"/>
        <w:jc w:val="center"/>
      </w:pPr>
      <w:r>
        <w:rPr>
          <w:rFonts w:ascii="Times New Roman" w:cs="Times New Roman" w:eastAsia="Times New Roman" w:hAnsi="Times New Roman"/>
          <w:b/>
          <w:bCs/>
          <w:i w:val="false"/>
          <w:iCs w:val="false"/>
          <w:sz w:val="28"/>
          <w:szCs w:val="28"/>
        </w:rPr>
        <w:t xml:space="preserve">ΚΕΦΑΛΑΙΟ 3: ΕΚΠΑΙΔΕΥΤΙΚΑ ΣΥΣΤΗΜΑΤΑ ΚΑΙ ΜΟΡΦΕΣ ΑΣΚΗΣΕΩΝ</w:t>
      </w:r>
    </w:p>
    <w:p>
      <w:pPr>
        <w:spacing w:after="200" w:before="360" w:line="360"/>
        <w:jc w:val="left"/>
      </w:pPr>
      <w:r>
        <w:rPr>
          <w:rFonts w:ascii="Times New Roman" w:cs="Times New Roman" w:eastAsia="Times New Roman" w:hAnsi="Times New Roman"/>
          <w:b/>
          <w:bCs/>
          <w:i w:val="false"/>
          <w:iCs w:val="false"/>
          <w:sz w:val="26"/>
          <w:szCs w:val="26"/>
        </w:rPr>
        <w:t xml:space="preserve">3.1 Η στρατιωτική εκπαίδευση</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εκπαίδευση στις Ένοπλες Δυνάμεις ακολουθεί δομημένη κλιμακωτή λογική: βασική εκπαίδευση νεοσύλλεκτων, εκπαίδευση ειδικότητας, εκπαίδευση μονάδας, σχηματισμού και τέλος σε επίπεδο κλάδου ή συμμαχίας. Κάθε επίπεδο περιλαμβάνει θεωρητική κατάρτιση και πρακτικές ασκήσεις. Η βασική εκπαίδευση (Κέντρα Εκπαίδευσης Νεοσύλλεκτων) εστιάζει σε στοιχειώδεις στρατιωτικές δεξιότητες: χειρισμός ατομικού οπλισμού, βολή, πειθαρχία, σωματική κατάσταση, βασική τακτική.</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Οι στρατιωτικές ασκήσεις κατηγοριοποιούνται σε τρεις βασικούς τύπους. Οι ασκήσεις πεδίου (Field Training Exercises — FTX) αποτελούν ασκήσεις πλήρους κλίμακας, όπου μονάδες αναπτύσσονται στο πεδίο με πλήρη εξοπλισμό και εκτελούν τακτικά σενάρια — αμυντικές/επιθετικές επιχειρήσεις, περιπολίες, ενέδρες, αποβάσεις. Οι ασκήσεις διοίκησης (Command Post Exercises — CPX) εξασκούν τα επιτελεία σε σχεδιασμό επιχειρήσεων, λήψη αποφάσεων και συντονισμό χωρίς φυσική ανάπτυξη δυνάμεων — αντίστοιχες των table-top exercises στα σώματα ασφαλείας. Οι ασκήσεις ζωντανών πυρών (Live Fire Exercises — LIVEX) περιλαμβάνουν χρήση πραγματικών πυρομαχικών σε εκπαιδευτικά πεδία βολής.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Σε επίπεδο NATO, η Ελλάδα συμμετέχει τακτικά σε μεγάλες πολυεθνικές ασκήσεις: «Trident Juncture», «Defender Europe», «Noble Jump», «Iniochos» (αεροπορικές). Οι ασκήσεις αυτές προσομοιώνουν σενάρια Article 5 (συλλογική άμυνα) ή κρίσεις εκτός Συνθήκης, και απαιτούν συντονισμό δυνάμεων από δεκάδες χώρες. Η αξία τους έγκειται στη δοκιμή διαλειτουργικότητας — η ικανότητα μονάδων διαφορετικών εθνικοτήτων να επιχειρούν μαζί. Μετά τον πόλεμο στην Ουκρανία (2022), η ένταση και η συχνότητα των ασκήσεων NATO αυξήθηκε σημαντικά.</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Ένα ιδιαίτερο πεδίο αφορά τη στρατιωτική εκπαίδευση σε ανθρωπιστικές αποστολές και ειρηνευτικές επιχειρήσεις. Ο Ελληνικός Στρατός έχει συμμετάσχει σε αποστολές ΟΗΕ (UNIFIL, Λίβανος), NATO (KFOR, Κόσοβο· ISAF, Αφγανιστάν) και ΕΕ (EU Battlegroup). Αυτές οι αποστολές απαιτούν δεξιότητες πέραν της συμβατικής μάχης: διαπραγμάτευση, πολιτιστική ευαισθησία, αλληλεπίδραση με άμαχο πληθυσμό, συνεργασία με ΜΚΟ. Η εκπαίδευση για τέτοιες αποστολές πραγματοποιείται μέσω ειδικών ασκήσεων (Mission Rehearsal Exercises — MRE) που προσομοιώνουν το συγκεκριμένο θέατρο επιχειρήσεων — συμπεριλαμβανομένων ηθοποιών που υποδύονται τοπικό πληθυσμό, δημοσιογράφους, αξιωματούχους.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Ένα κρίσιμο στοιχείο της στρατιωτικής εκπαίδευσης είναι η ανάλυση μετά τη δράση (After Action Review — AAR). Η AAR, που αναπτύχθηκε από τον αμερικανικό στρατό, αποτελεί δομημένη διαδικασία ανατροφοδότησης κατά την οποία η μονάδα αναλύει: τι σχεδιαζόταν, τι συνέβη πραγματικά, γιατί υπήρξε απόκλιση, και τι πρέπει να αλλάξει. Η μέθοδος αυτή αντιστοιχεί ακριβώς στο debriefing που περιγράφει ο κύκλος Kolb (1984) και αποτελεί κοινή βέλτιστη πρακτική σε όλα τα σώματα.</w:t>
      </w:r>
    </w:p>
    <w:p>
      <w:pPr>
        <w:spacing w:after="200" w:before="360" w:line="360"/>
        <w:jc w:val="left"/>
      </w:pPr>
      <w:r>
        <w:rPr>
          <w:rFonts w:ascii="Times New Roman" w:cs="Times New Roman" w:eastAsia="Times New Roman" w:hAnsi="Times New Roman"/>
          <w:b/>
          <w:bCs/>
          <w:i w:val="false"/>
          <w:iCs w:val="false"/>
          <w:sz w:val="26"/>
          <w:szCs w:val="26"/>
        </w:rPr>
        <w:t xml:space="preserve">3.2 Η αστυνομική εκπαίδευση</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εκπαίδευση στην ΕΛ.ΑΣ. πραγματοποιείται μέσω δύο βασικών δομών: τη Σχολή Αξιωματικών Ελληνικής Αστυνομίας (τετραετής φοίτηση, αντίστοιχη ΑΕΙ) και τη Σχολή Αστυφυλάκων. Η βασική εκπαίδευση περιλαμβάνει ποινικό δίκαιο, εγκληματολογία, αυτοάμυνα, σκοποβολή, οδήγηση, πρώτες βοήθειες και τεχνικές σύλληψης. Μετά την αρχική κατάρτιση, η συνεχιζόμενη εκπαίδευση λαμβάνει τη μορφή ετήσιων σκοποβολών, σεμιναρίων ειδικότητας και ασκήσεων.</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Οι ασκήσεις στην ΕΛ.ΑΣ. κατηγοριοποιούνται ανάλογα με τη μονάδα. Για τις ειδικές μονάδες (ΕΚΑΜ): ασκήσεις CQB (Close Quarters Battle) σε ειδικά διαμορφωμένα κτίρια (killing houses), σενάρια ομηρίας, εισβολές σε αεροσκάφη/λεωφορεία, σκοποβολή υπό πίεση. Για τα ΜΑΤ: ασκήσεις ελέγχου πλήθους σε σχηματισμούς (φάλαγγα, χελώνα), χρήση δακρυγόνων, αντιμετώπιση μολότοφ. Για τη Δίωξη Ναρκωτικών: σενάρια ελεγχόμενης παράδοσης, μυστικές επιχειρήσεις, μετωπική σύλληψη.</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Ένα σημαντικό πεδίο εκπαίδευσης αφορά τη χρήση βίας. Ο αστυνομικός — σε αντίθεση με τον στρατιώτη — δρα εντός πολιτικής κοινωνίας, όπου η χρήση βίας υπόκειται σε αυστηρούς νομικούς περιορισμούς (αρχή αναλογικότητας). Η εκπαίδευση στη «σκάλα χρήσης βίας» — από τη λεκτική εντολή μέχρι τη χρήση πυροβόλου — απαιτεί εξάσκηση σε ρεαλιστικά σενάρια όπου η σωστή απόφαση δεν είναι πάντα η χρήση μέγιστης βίας. Αυτή η εκπαίδευση εμπίπτει στο πεδίο των NTS: κατανόηση κατάστασης, λήψη αποφάσεων υπό χρονική πίεση, αναλογικότητα (Flin et al., 2008).</w:t>
      </w:r>
    </w:p>
    <w:p>
      <w:pPr>
        <w:spacing w:after="200" w:before="360" w:line="360"/>
        <w:jc w:val="left"/>
      </w:pPr>
      <w:r>
        <w:rPr>
          <w:rFonts w:ascii="Times New Roman" w:cs="Times New Roman" w:eastAsia="Times New Roman" w:hAnsi="Times New Roman"/>
          <w:b/>
          <w:bCs/>
          <w:i w:val="false"/>
          <w:iCs w:val="false"/>
          <w:sz w:val="26"/>
          <w:szCs w:val="26"/>
        </w:rPr>
        <w:t xml:space="preserve">3.3 Η εκπαίδευση της Τροχαίας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Τροχαία εκπαιδεύεται αρχικά στη Σχολή Αστυφυλάκων και εξειδικεύεται μέσω σεμιναρίων και εκπαιδευτικών προγραμμάτων. Τα βασικά πεδία εκπαίδευσης περιλαμβάνουν: προηγμένη οδήγηση (defensive/pursuit driving), χρήση αλκοτέστ και ναρκοτέστ, ρύθμιση κυκλοφορίας σε ατυχήματα και εκδηλώσεις, διερεύνηση ατυχημάτων (αποτυπώσεις ιχνών τροχοπέδησης, φωτογραφική τεκμηρίωση, σχεδιάγραμμα ατυχήματος), και αντιμετώπιση ατυχημάτων με επικίνδυνα φορτία (ADR).</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Οι ασκήσεις της Τροχαίας περιλαμβάνουν: σενάρια πολύνεκρων τροχαίων ατυχημάτων (multi-vehicle pile-ups), ασκήσεις σε σήραγγες αυτοκινητοδρόμων (συντονισμός με ΠΣ και ΕΚΑΒ), σενάρια ατυχημάτων με υλικά ADR (διαρροή τοξικών ή εύφλεκτων ουσιών), και ασκήσεις κυκλοφοριακών ρυθμίσεων μεγάλης κλίμακας. Η εμπειρία δείχνει ότι η Τροχαία έχει σχετικά λιγότερες ευκαιρίες πρακτικής εξάσκησης σε σύγκριση με ΠΣ ή στρατό — γεγονός που αποτελεί αδυναμία δεδομένης της κρισιμότητας του ρόλου της. Η τραγωδία στα Τέμπη (2023) ανέδειξε, μεταξύ άλλων, τη σημασία του συντονισμού σε σύνθετα ατυχήματα.</w:t>
      </w:r>
    </w:p>
    <w:p>
      <w:pPr>
        <w:spacing w:after="200" w:before="360" w:line="360"/>
        <w:jc w:val="left"/>
      </w:pPr>
      <w:r>
        <w:rPr>
          <w:rFonts w:ascii="Times New Roman" w:cs="Times New Roman" w:eastAsia="Times New Roman" w:hAnsi="Times New Roman"/>
          <w:b/>
          <w:bCs/>
          <w:i w:val="false"/>
          <w:iCs w:val="false"/>
          <w:sz w:val="26"/>
          <w:szCs w:val="26"/>
        </w:rPr>
        <w:t xml:space="preserve">3.4 Η εκπαίδευση στο Πυροσβεστικό Σώμα</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εκπαίδευση στο ΠΣ ξεκινά από τη Σχολή Ανθυποπυραγών (τριετής) και τη Σχολή Πυροσβεστών. Το πρόγραμμα συνδυάζει θεωρία (τακτική, χημεία καύσης, μετεωρολογία, νομοθεσία) με πρακτική εξάσκηση (κατάσβεση, χρήση εξοπλισμού, διάσωση). Η συνεχιζόμενη εκπαίδευση περιλαμβάνει τακτικές εκπαιδεύσεις σε επίπεδο σταθμού, εξειδικευμένα σχολεία (δασοπυρόσβεση, HAZMAT, ορεινή διάσωση) και ασκήσεις τοπικού/εθνικού/διεθνούς επιπέδου.</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Οι ασκήσεις στο ΠΣ διακρίνονται σε: ασκήσεις επί χάρτου (table-top) για στρατηγικό σχεδιασμό, ασκήσεις πεδίου (κατάσβεση, διάσωση, απεγκλωβισμός), ασκήσεις προσομοίωσης (flashover containers, VR), και εξειδικευμένες ασκήσεις ΕΜΑΚ (USAR σε ερείπια, ορεινή διάσωση, HAZMAT). Η ΕΜΑΚ εκπαιδεύεται σύμφωνα με πρότυπα INSARAG (2020) και συμμετέχει σε ασκήσεις MODEX του Ευρωπαϊκού Μηχανισμού Πολιτικής Προστασίας.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φάση debriefing — ανατροφοδότηση μετά την ολοκλήρωση — αποτελεί κρίσιμο στοιχείο. Σύμφωνα με τον Ericsson (2006), εξάσκηση χωρίς ανατροφοδότηση δεν οδηγεί σε βελτίωση. Η διαδικασία αυτή αντιστοιχεί στο στάδιο «στοχαστικής παρατήρησης» του κύκλου Kolb (1984).</w:t>
      </w:r>
    </w:p>
    <w:p>
      <w:pPr>
        <w:spacing w:after="200" w:before="360" w:line="360"/>
        <w:jc w:val="left"/>
      </w:pPr>
      <w:r>
        <w:rPr>
          <w:rFonts w:ascii="Times New Roman" w:cs="Times New Roman" w:eastAsia="Times New Roman" w:hAnsi="Times New Roman"/>
          <w:b/>
          <w:bCs/>
          <w:i w:val="false"/>
          <w:iCs w:val="false"/>
          <w:sz w:val="26"/>
          <w:szCs w:val="26"/>
        </w:rPr>
        <w:t xml:space="preserve">3.5 Πολυφορεακές ασκήσεις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Ένα αυξανόμενα σημαντικό πεδίο αφορά τις πολυφορεακές ασκήσεις — ασκήσεις στις οποίες συμμετέχουν δύο ή περισσότεροι φορείς ταυτόχρονα. Ένα τυπικό σενάριο: τρομοκρατική επίθεση σε σταθμό μετρό — κινητοποιούνται ΕΚΑΜ (αντιτρομοκρατία), αστυνομία (περιμετρική ασφάλεια, εκκένωση), ΠΣ (πυρόσβεση, απεγκλωβισμός), ΕΚΑΒ (τραυματίες), Πολιτική Προστασία (συντονισμός). Η αποτελεσματική αντιμετώπιση ενός τέτοιου σεναρίου δεν εξαρτάται μόνο από την ετοιμότητα κάθε φορέα μεμονωμένα, αλλά κυρίως από τη δυνατότητα συντονισμένης δράσης.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Οι πολυφορεακές ασκήσεις αντιμετωπίζουν μοναδικές προκλήσεις: διαφορετικά πρωτόκολλα επικοινωνίας μεταξύ φορέων, διαφορετική ορολογία, ασάφεια ρόλων στη ζώνη αλληλοκάλυψης αρμοδιοτήτων, και ελλιπής αλληλογνωριμία μεταξύ του προσωπικού διαφορετικών υπηρεσιών. Μέσω κοινών ασκήσεων, αυτά τα κενά εντοπίζονται και αντιμετωπίζονται: θεσπίζονται κοινά πρωτόκολλα, εξοικειώνεται το προσωπικό με τη λογική λειτουργίας των άλλων υπηρεσιών, και δημιουργούνται σχέσεις εμπιστοσύνης μεταξύ στελεχών.</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Ο Πίνακας 3 συγκρίνει τους τύπους ασκήσεων σε κάθε σώμα.</w:t>
      </w:r>
    </w:p>
    <w:p>
      <w:pPr>
        <w:spacing w:after="120" w:before="240" w:line="360"/>
        <w:jc w:val="center"/>
      </w:pPr>
      <w:r>
        <w:rPr>
          <w:rFonts w:ascii="Times New Roman" w:cs="Times New Roman" w:eastAsia="Times New Roman" w:hAnsi="Times New Roman"/>
          <w:b/>
          <w:bCs/>
          <w:i/>
          <w:iCs/>
          <w:sz w:val="22"/>
          <w:szCs w:val="22"/>
        </w:rPr>
        <w:t xml:space="preserve">Πίνακας 3: Τύποι ασκήσεων ανά σώμα ασφαλείας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color="D9E2F3" w:val="solid"/>
          </w:tcPr>
          <w:p>
            <w:pPr>
              <w:spacing w:after="60" w:before="60"/>
              <w:jc w:val="center"/>
            </w:pPr>
            <w:r>
              <w:rPr>
                <w:rFonts w:ascii="Times New Roman" w:cs="Times New Roman" w:eastAsia="Times New Roman" w:hAnsi="Times New Roman"/>
                <w:b/>
                <w:bCs/>
                <w:i w:val="false"/>
                <w:iCs w:val="false"/>
                <w:sz w:val="20"/>
                <w:szCs w:val="20"/>
              </w:rPr>
              <w:t xml:space="preserve">Τύπος άσκησης</w:t>
            </w:r>
          </w:p>
        </w:tc>
        <w:tc>
          <w:tcPr>
            <w:tcW w:type="pct" w:w="20%"/>
            <w:shd w:color="D9E2F3" w:val="solid"/>
          </w:tcPr>
          <w:p>
            <w:pPr>
              <w:spacing w:after="60" w:before="60"/>
              <w:jc w:val="center"/>
            </w:pPr>
            <w:r>
              <w:rPr>
                <w:rFonts w:ascii="Times New Roman" w:cs="Times New Roman" w:eastAsia="Times New Roman" w:hAnsi="Times New Roman"/>
                <w:b/>
                <w:bCs/>
                <w:i w:val="false"/>
                <w:iCs w:val="false"/>
                <w:sz w:val="20"/>
                <w:szCs w:val="20"/>
              </w:rPr>
              <w:t xml:space="preserve">Ένοπλες Δυνάμεις</w:t>
            </w:r>
          </w:p>
        </w:tc>
        <w:tc>
          <w:tcPr>
            <w:tcW w:type="pct" w:w="20%"/>
            <w:shd w:color="D9E2F3" w:val="solid"/>
          </w:tcPr>
          <w:p>
            <w:pPr>
              <w:spacing w:after="60" w:before="60"/>
              <w:jc w:val="center"/>
            </w:pPr>
            <w:r>
              <w:rPr>
                <w:rFonts w:ascii="Times New Roman" w:cs="Times New Roman" w:eastAsia="Times New Roman" w:hAnsi="Times New Roman"/>
                <w:b/>
                <w:bCs/>
                <w:i w:val="false"/>
                <w:iCs w:val="false"/>
                <w:sz w:val="20"/>
                <w:szCs w:val="20"/>
              </w:rPr>
              <w:t xml:space="preserve">ΕΛ.ΑΣ.</w:t>
            </w:r>
          </w:p>
        </w:tc>
        <w:tc>
          <w:tcPr>
            <w:tcW w:type="pct" w:w="20%"/>
            <w:shd w:color="D9E2F3" w:val="solid"/>
          </w:tcPr>
          <w:p>
            <w:pPr>
              <w:spacing w:after="60" w:before="60"/>
              <w:jc w:val="center"/>
            </w:pPr>
            <w:r>
              <w:rPr>
                <w:rFonts w:ascii="Times New Roman" w:cs="Times New Roman" w:eastAsia="Times New Roman" w:hAnsi="Times New Roman"/>
                <w:b/>
                <w:bCs/>
                <w:i w:val="false"/>
                <w:iCs w:val="false"/>
                <w:sz w:val="20"/>
                <w:szCs w:val="20"/>
              </w:rPr>
              <w:t xml:space="preserve">Τροχαία</w:t>
            </w:r>
          </w:p>
        </w:tc>
        <w:tc>
          <w:tcPr>
            <w:tcW w:type="pct" w:w="20%"/>
            <w:shd w:color="D9E2F3" w:val="solid"/>
          </w:tcPr>
          <w:p>
            <w:pPr>
              <w:spacing w:after="60" w:before="60"/>
              <w:jc w:val="center"/>
            </w:pPr>
            <w:r>
              <w:rPr>
                <w:rFonts w:ascii="Times New Roman" w:cs="Times New Roman" w:eastAsia="Times New Roman" w:hAnsi="Times New Roman"/>
                <w:b/>
                <w:bCs/>
                <w:i w:val="false"/>
                <w:iCs w:val="false"/>
                <w:sz w:val="20"/>
                <w:szCs w:val="20"/>
              </w:rPr>
              <w:t xml:space="preserve">ΠΣ</w:t>
            </w:r>
          </w:p>
        </w:tc>
      </w:tr>
      <w:tr>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Επί χάρτου / CPX</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Επιτελικές ασκήσεις NATO</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Σενάρια ομηρίας, τρομοκρατίας</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Σχεδιασμός ρυθμίσεων</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Σχεδιασμός πυρόσβεσης</w:t>
            </w:r>
          </w:p>
        </w:tc>
      </w:tr>
      <w:tr>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Πεδίου / FTX</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Τακτικές ασκήσεις μάχης</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CQB, ΜΑΤ σχηματισμοί</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Σενάρια ατυχημάτων</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Κατάσβεση, διάσωση</w:t>
            </w:r>
          </w:p>
        </w:tc>
      </w:tr>
      <w:tr>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Ζωντανών πυρών</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LIVEX, βολές</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Σκοποβολή υπό πίεση</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Flashover containers</w:t>
            </w:r>
          </w:p>
        </w:tc>
      </w:tr>
      <w:tr>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Προσομοίωσης</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War games, VBS</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Σκοποβολή laser, VR</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Εκπαιδευτικά βίντεο</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VR, προσομοιωτές</w:t>
            </w:r>
          </w:p>
        </w:tc>
      </w:tr>
      <w:tr>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Πολυφορεακές</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NATO exercises</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Τρομοκρατία (με ΠΣ, ΕΚΑΒ)</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Ατυχήματα (με ΠΣ, ΕΚΑΒ)</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MODEX, εκκενώσεις</w:t>
            </w:r>
          </w:p>
        </w:tc>
      </w:tr>
      <w:tr>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Εξειδικευμένες</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Ειδικές Δυνάμεις, αλεξίπτωτα</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ΕΚΑΜ, Δίωξη</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ADR, σήραγγες</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ΕΜΑΚ, USAR, HAZMAT</w:t>
            </w:r>
          </w:p>
        </w:tc>
      </w:tr>
    </w:tbl>
    <w:p>
      <w:pPr>
        <w:spacing w:after="200"/>
      </w:pPr>
    </w:p>
    <w:p>
      <w:pPr>
        <w:pageBreakBefore/>
        <w:spacing w:after="240" w:before="480" w:line="360"/>
        <w:jc w:val="center"/>
      </w:pPr>
      <w:r>
        <w:rPr>
          <w:rFonts w:ascii="Times New Roman" w:cs="Times New Roman" w:eastAsia="Times New Roman" w:hAnsi="Times New Roman"/>
          <w:b/>
          <w:bCs/>
          <w:i w:val="false"/>
          <w:iCs w:val="false"/>
          <w:sz w:val="28"/>
          <w:szCs w:val="28"/>
        </w:rPr>
        <w:t xml:space="preserve">ΚΕΦΑΛΑΙΟ 4: Η ΕΠΙΔΡΑΣΗ ΤΗΣ ΕΚΠΑΙΔΕΥΣΗΣ ΜΕΣΩ ΑΣΚΗΣΕΩΝ ΣΤΗΝ ΕΠΙΧΕΙΡΗΣΙΑΚΗ ΕΤΟΙΜΟΤΗΤΑ</w:t>
      </w:r>
    </w:p>
    <w:p>
      <w:pPr>
        <w:spacing w:after="200" w:before="360" w:line="360"/>
        <w:jc w:val="left"/>
      </w:pPr>
      <w:r>
        <w:rPr>
          <w:rFonts w:ascii="Times New Roman" w:cs="Times New Roman" w:eastAsia="Times New Roman" w:hAnsi="Times New Roman"/>
          <w:b/>
          <w:bCs/>
          <w:i w:val="false"/>
          <w:iCs w:val="false"/>
          <w:sz w:val="26"/>
          <w:szCs w:val="26"/>
        </w:rPr>
        <w:t xml:space="preserve">4.1 Επίδραση στη σωματική ετοιμότητα</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σωματική ετοιμότητα αποτελεί θεμέλιο επιχειρησιακής ικανότητας σε κάθε σώμα ασφαλείας. Για τον πυροσβέστη, σημαίνει αντοχή σε θερμοκρασίες 300°C φέροντας 25 κιλά εξοπλισμό. Για τον στρατιώτη πεζικού, σημαίνει πορεία δεκάδων χιλιομέτρων με πλήρη εξάρτυση (30-40 κιλά). Για τον αστυνομικό της ΕΚΑΜ, σημαίνει εισβολή σε κτίριο με αλεξίσφαιρο γιλέκο, κράνος, ασπίδα και οπλισμό. Για τον αστυνομικό της Τροχαίας, σημαίνει ώρες εργασίας υπό ακραίες καιρικές συνθήκες σε σημεία ατυχημάτων.</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συστηματική συμμετοχή σε ασκήσεις πεδίου λειτουργεί ταυτόχρονα ως εκπαίδευση και ως λειτουργική φυσική κατάσταση. Σε αντίθεση με τη γυμναστική σε γυμναστήριο, η εξάσκηση μέσω ασκήσεων αναπτύσσει ακριβώς τα κινητικά πρότυπα που απαιτεί η πραγματική επιχείρηση: μεταφορά φορείου σε σκαλιά (ΠΣ), κίνηση σε αστικό περιβάλλον με οπλισμό (ΕΚΑΜ), τρέξιμο σε ανώμαλο έδαφος με πλήρη στρατιωτική εξάρτυση (στρατός). Οι Soteriades et al. (2011) τεκμηρίωσαν ότι η καρδιαγγειακή καταπόνηση αποτελεί πρώτη αιτία θανάτου εν ώρα υπηρεσίας στους πυροσβέστες — εύρημα που υπογραμμίζει τη σημασία της φυσικής κατάστασης.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λειτουργική άσκηση (functional training) — δηλαδή η φυσική κατάσταση μέσω πρακτικών δραστηριοτήτων αντί αφηρημένης γυμναστικής — αναγνωρίζεται ως ανώτερη μέθοδος για σώματα ασφαλείας. Ο στρατιώτης που ασκείται σε πορεία με φόρτωμα βελτιώνει ακριβώς τους μυς και τη αντοχή που θα χρειαστεί στο πεδίο. Ο πυροσβέστης που εξασκείται σε ανάπτυξη σωλήνων βελτιώνει τη δύναμη λαβής, την αντοχή ώμων και τη σταθερότητα κορμού — ακριβώς τα στοιχεία που απαιτεί η πραγματική κατάσβεση.</w:t>
      </w:r>
    </w:p>
    <w:p>
      <w:pPr>
        <w:spacing w:after="200" w:before="360" w:line="360"/>
        <w:jc w:val="left"/>
      </w:pPr>
      <w:r>
        <w:rPr>
          <w:rFonts w:ascii="Times New Roman" w:cs="Times New Roman" w:eastAsia="Times New Roman" w:hAnsi="Times New Roman"/>
          <w:b/>
          <w:bCs/>
          <w:i w:val="false"/>
          <w:iCs w:val="false"/>
          <w:sz w:val="26"/>
          <w:szCs w:val="26"/>
        </w:rPr>
        <w:t xml:space="preserve">4.2 Επίδραση στην τεχνική επάρκεια</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τεχνική γνώση αποκτά αξία μόνο όταν μετατρέπεται σε αυτοματοποιημένη δεξιότητα. Στη γνωστική ψυχολογία, η μετάβαση από τη συνειδητή εφαρμογή κανόνων (δηλωτική γνώση) στην ασυνείδητη εκτέλεση (διαδικαστική γνώση) επιτυγχάνεται μέσω επαναλαμβανόμενης εξάσκησης (Ericsson et al., 1993). Ο στρατιώτης που αποσυναρμολογεί και συναρμολογεί το όπλο του εκατοντάδες φορές μπορεί να το κάνει στο σκοτάδι, υπό πυρά, με βρεγμένα χέρια. Ο αστυνομικός που εξάγει και στοχεύει το υπηρεσιακό πιστόλι χιλιάδες φορές μπορεί να αντιδράσει σε κλάσμα δευτερολέπτου σε ληστεία. Ο πυροσβέστης που έχει αναπτύξει σωλήνες δεκάδες φορές μπορεί να το κάνει μέσα σε καπνό χωρίς σκέψη.</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μετα-ανάλυση των Salas et al. (2008) έδειξε ότι η ομαδική εκπαίδευση μειώνει τα λειτουργικά σφάλματα κατά 20-30% σε σενάρια υψηλής πίεσης. Αυτό ισχύει οριζόντια: λιγότερα σφάλματα σε αστυνομικές επιχειρήσεις σύλληψης, λιγότερα σφάλματα σε στρατιωτικές τακτικές κινήσεις, λιγότερα σφάλματα σε πυροσβεστικές επιχειρήσεις. Ο μηχανισμός είναι τριπλός: αυτοματοποίηση βασικών ενεργειών (μείωση γνωστικού φόρτου), κοινά νοητικά μοντέλα (τα μέλη γνωρίζουν τι αναμένεται από τον καθένα), και ανίχνευση σφαλμάτων εντός ομάδας.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Ένα παράδειγμα: η πρόσβαση σε πυρκαγιά κτιρίου απαιτεί ταυτόχρονα αξιολόγηση δομικής ακεραιότητας, εκτίμηση σταδίου πυρκαγιάς, απόφαση αερισμού, συντονισμό με γραμμή νερού. Αντίστοιχα, μια αστυνομική εισβολή σε κτίριο (ΕΚΑΜ) απαιτεί ταυτόχρονα: εκτίμηση κατόψεως, αναγνώριση θέσεων υπόπτων, κάλυψη γωνιών, επικοινωνία με ελεύθερο σκοπευτή εξωτερικά, φροντίδα ομήρων. Η ικανότητα ταυτόχρονης διαχείρισης πολλαπλών μεταβλητών αποκτάται μόνο μέσω πρακτικής (Ericsson, 2006).</w:t>
      </w:r>
    </w:p>
    <w:p>
      <w:pPr>
        <w:spacing w:after="200" w:before="360" w:line="360"/>
        <w:jc w:val="left"/>
      </w:pPr>
      <w:r>
        <w:rPr>
          <w:rFonts w:ascii="Times New Roman" w:cs="Times New Roman" w:eastAsia="Times New Roman" w:hAnsi="Times New Roman"/>
          <w:b/>
          <w:bCs/>
          <w:i w:val="false"/>
          <w:iCs w:val="false"/>
          <w:sz w:val="26"/>
          <w:szCs w:val="26"/>
        </w:rPr>
        <w:t xml:space="preserve">4.3 Επίδραση στην ψυχολογική ανθεκτικότητα</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ψυχολογική ετοιμότητα αναπτύσσεται μέσω «εμβολιασμού στρες» (stress inoculation). Η αρχή, που εισήγαγε ο Meichenbaum (2007) και εφάρμοσε ο Grossman στο στρατιωτικό πεδίο (Grossman &amp; Christensen, 2008), είναι ότι η ελεγχόμενη έκθεση σε στρεσογόνες συνθήκες δημιουργεί σταδιακά ανθεκτικότητα: ο οργανισμός «μαθαίνει» να λειτουργεί υπό πίεση.</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Ο Grossman περιέγραψε πώς ο καρδιακός ρυθμός επηρεάζει τη γνωστική λειτουργία: σε 115-145 παλμούς/λεπτό ο οργανισμός βρίσκεται σε βέλτιστη κατάσταση εγρήγορσης. Πάνω από 145 παλμούς υποβαθμίζονται οι λεπτές κινητικές δεξιότητες. Πάνω από 175 παλμούς εγκαθίσταται αυτοματοποιημένη αντίδραση «fight or flight» — σηραγγοειδής όραση, ακουστικός αποκλεισμός, απώλεια βάθους πεδίου. Η εκπαίδευση μέσω ρεαλιστικών ασκήσεων μαθαίνει το προσωπικό να δρα αποτελεσματικά σε ρυθμούς που θα προκαλούσαν πανικό σε μη εκπαιδευμένο άτομο.</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Αυτό ισχύει σε κάθε σώμα: ο στρατιώτης που εξασκείται σε ασκήσεις ζωντανών πυρών (LIVEX) εξοικειώνεται με τον θόρυβο, τον κραδασμό και τον κίνδυνο. Ο αστυνομικός ΕΚΑΜ που εκπαιδεύεται σε σενάρια ομηρίας με ρεαλιστικές εκρήξεις (flash-bang grenades) μαθαίνει να δρα μέσα στη σύγχυση. Ο πυροσβέστης που εξασκείται σε flashover container βιώνει τη ραγδαία εξάπλωση φωτιάς χωρίς πανικό. Ο αστυνομικός της τροχαίας που εξασκείται σε σενάριο πολύνεκρου ατυχήματος — με ηθοποιούς-«τραυματίες», αίμα-μακιγιάζ, κραυγές — μαθαίνει να λειτουργεί ψύχραιμα σε μια εικόνα που αλλιώς θα τον παρέλυε.</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αυτοαποτελεσματικότητα (self-efficacy) που αποκτάται μέσω ασκήσεων αποτελεί προστατευτικό παράγοντα κατά του PTSD. Οι Kleim και Westphal (2011) τονίζουν ότι η αίσθηση «ξέρω τι κάνω, η ομάδα μου με στηρίζει, έχω εκπαιδευτεί σωστά» λειτουργεί ως ψυχολογικό ανάχωμα. Αντίστροφα, η αίσθηση ανεπάρκειας πολλαπλασιάζει τον ψυχολογικό αντίκτυπο ενός τραυματικού γεγονότος.</w:t>
      </w:r>
    </w:p>
    <w:p>
      <w:pPr>
        <w:spacing w:after="200" w:before="360" w:line="360"/>
        <w:jc w:val="left"/>
      </w:pPr>
      <w:r>
        <w:rPr>
          <w:rFonts w:ascii="Times New Roman" w:cs="Times New Roman" w:eastAsia="Times New Roman" w:hAnsi="Times New Roman"/>
          <w:b/>
          <w:bCs/>
          <w:i w:val="false"/>
          <w:iCs w:val="false"/>
          <w:sz w:val="26"/>
          <w:szCs w:val="26"/>
        </w:rPr>
        <w:t xml:space="preserve">4.4 Επίδραση στην ομαδική συνεργασία και συντονισμό</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ομαδική συνεργασία αποτελεί κρίσιμο παράγοντα σε κάθε σώμα. Μια διμοιρία πεζικού, ένα πλήρωμα ΜΑΤ, μια ομάδα ΕΚΑΜ, ένα πυροσβεστικό πλήρωμα — σε κάθε περίπτωση, η αποτελεσματικότητα εξαρτάται από τη συνεργασία. Οι Salas et al. (2008) τεκμηρίωσαν ότι η ομαδική εκπαίδευση παράγει: (α) κοινά νοητικά μοντέλα, (β) αμοιβαία εμπιστοσύνη, (γ) κοινό λεξιλόγιο. Αυτά τα στοιχεία αποκτώνται μόνο μέσω κοινής εξάσκησης.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σημασία της ομαδικής συνοχής γίνεται ιδιαίτερα εμφανής σε κρίσιμες στιγμές. Σε μια αστυνομική εισβολή, τα μέλη της ομάδας πρέπει να γνωρίζουν χωρίς λεκτική επικοινωνία ποιος καλύπτει ποια γωνία, ποιος ανοίγει πρώτος, ποιος φροντίζει τους ομήρους. Σε ένα πυροσβεστικό πλήρωμα, ο σωληνωτής πρέπει να «νιώθει» πότε ο αρχηγός θα δώσει εντολή ανάπτυξης χωρίς να περιμένει λεκτική εντολή — ιδίως σε συνθήκες θορύβου. Σε ένα στρατιωτικό τμήμα, η αμοιβαία εμπιστοσύνη μεταξύ μελών μπορεί να σημαίνει τη διαφορά μεταξύ ζωής και θανάτου σε ενέδρα.</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ειδική περίπτωση του διυπηρεσιακού συντονισμού αποτελεί ίσως τη μεγαλύτερη πρόκληση. Σε πολυφορεακή επιχείρηση, τα μέλη διαφορετικών υπηρεσιών πρέπει να συνεργαστούν χωρίς κοινή εκπαίδευση, χωρίς αλληλογνωριμία, ενδεχομένως χωρίς κοινή ορολογία. Η μόνη λύση: κοινές ασκήσεις σε τακτική βάση. Η τραγωδία στο Μάτι (2018) κατέδειξε ότι η ελλιπής πρακτική διυπηρεσιακού συντονισμού κοστίζει ζωές (Flin et al., 2008).</w:t>
      </w:r>
    </w:p>
    <w:p>
      <w:pPr>
        <w:spacing w:after="200" w:before="360" w:line="360"/>
        <w:jc w:val="left"/>
      </w:pPr>
      <w:r>
        <w:rPr>
          <w:rFonts w:ascii="Times New Roman" w:cs="Times New Roman" w:eastAsia="Times New Roman" w:hAnsi="Times New Roman"/>
          <w:b/>
          <w:bCs/>
          <w:i w:val="false"/>
          <w:iCs w:val="false"/>
          <w:sz w:val="26"/>
          <w:szCs w:val="26"/>
        </w:rPr>
        <w:t xml:space="preserve">4.5 Σχέση συχνότητας ασκήσεων και επιπέδου ετοιμότητας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Οι δεξιότητες που δεν ασκούνται τακτικά υποβαθμίζονται — φαινόμενο γνωστό ως skill decay. Οι Salas et al. (2012) σημείωσαν ότι η απόδοση σε σύνθετες δεξιότητες μειώνεται αισθητά εντός μηνών χωρίς εξάσκηση. Αυτό έχει πρακτικές συνέπειες: ο στρατιώτης που δεν ασκείται σε βολή χάνει ακρίβεια. Ο αστυνομικός που δεν εξασκείται σε CQB χάνει ταχύτητα αντίδρασης. Ο πυροσβέστης που δεν ασκείται σε δασοπυρόσβεση κατά τον χειμώνα ξεκινά την αντιπυρική περίοδο υποβαθμισμένος.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βέλτιστη πρακτική περιλαμβάνει: καθημερινή εξάσκηση σε βασικές δεξιότητες (σκοποβολή, φυσική κατάσταση, τεχνικές διαδικασίες), μηνιαίες ασκήσεις μεγαλύτερης κλίμακας σε επίπεδο μονάδας, τριμηνιαίες πολυφορεακές ασκήσεις, και ετήσιες μεγάλες ασκήσεις εθνικού ή διεθνούς επιπέδου. Στο NATO, η αρχή «no training holiday» — καμία περίοδος χωρίς εκπαίδευση — αποτελεί θεμελιώδη κανόνα. Η αντίστοιχη αρχή θα έπρεπε να ισχύει σε κάθε σώμα ασφαλείας.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Ένα πρόσθετο ζήτημα αφορά την εποχικότητα. Στο ΠΣ, η εποχικότητα δημιουργεί ιδιαίτερη πρόκληση: πυροσβέστες που δεν ασκούνται σε δασοπυρόσβεση κατά τον χειμώνα ξεκινούν την αντιπυρική περίοδο υποβαθμισμένοι. Στην τροχαία, η αύξηση κυκλοφορίας κατά τις θερινές εξόδους δημιουργεί αιχμή κινδύνου. Στον στρατό, η εναλλαγή κληρωτών κάθε εννέα μήνες σημαίνει συνεχή ανακύκλωση βασικής εκπαίδευσης. Σε κάθε περίπτωση, η πρόληψη του skill decay απαιτεί σχεδιασμό εκπαίδευσης που λαμβάνει υπόψη τους εποχικούς και κυκλικούς παράγοντες.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Ο Πίνακας 4 συνοψίζει ερευνητικά ευρήματα.</w:t>
      </w:r>
    </w:p>
    <w:p>
      <w:pPr>
        <w:spacing w:after="120" w:before="240" w:line="360"/>
        <w:jc w:val="center"/>
      </w:pPr>
      <w:r>
        <w:rPr>
          <w:rFonts w:ascii="Times New Roman" w:cs="Times New Roman" w:eastAsia="Times New Roman" w:hAnsi="Times New Roman"/>
          <w:b/>
          <w:bCs/>
          <w:i/>
          <w:iCs/>
          <w:sz w:val="22"/>
          <w:szCs w:val="22"/>
        </w:rPr>
        <w:t xml:space="preserve">Πίνακας 4: Ερευνητικά ευρήματα για την αποτελεσματικότητα ασκήσεων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D9E2F3" w:val="solid"/>
          </w:tcPr>
          <w:p>
            <w:pPr>
              <w:spacing w:after="60" w:before="60"/>
              <w:jc w:val="center"/>
            </w:pPr>
            <w:r>
              <w:rPr>
                <w:rFonts w:ascii="Times New Roman" w:cs="Times New Roman" w:eastAsia="Times New Roman" w:hAnsi="Times New Roman"/>
                <w:b/>
                <w:bCs/>
                <w:i w:val="false"/>
                <w:iCs w:val="false"/>
                <w:sz w:val="20"/>
                <w:szCs w:val="20"/>
              </w:rPr>
              <w:t xml:space="preserve">Εύρημα</w:t>
            </w:r>
          </w:p>
        </w:tc>
        <w:tc>
          <w:tcPr>
            <w:tcW w:type="pct" w:w="33%"/>
            <w:shd w:color="D9E2F3" w:val="solid"/>
          </w:tcPr>
          <w:p>
            <w:pPr>
              <w:spacing w:after="60" w:before="60"/>
              <w:jc w:val="center"/>
            </w:pPr>
            <w:r>
              <w:rPr>
                <w:rFonts w:ascii="Times New Roman" w:cs="Times New Roman" w:eastAsia="Times New Roman" w:hAnsi="Times New Roman"/>
                <w:b/>
                <w:bCs/>
                <w:i w:val="false"/>
                <w:iCs w:val="false"/>
                <w:sz w:val="20"/>
                <w:szCs w:val="20"/>
              </w:rPr>
              <w:t xml:space="preserve">Εφαρμογή σε σώματα ασφαλείας</w:t>
            </w:r>
          </w:p>
        </w:tc>
        <w:tc>
          <w:tcPr>
            <w:tcW w:type="pct" w:w="33%"/>
            <w:shd w:color="D9E2F3" w:val="solid"/>
          </w:tcPr>
          <w:p>
            <w:pPr>
              <w:spacing w:after="60" w:before="60"/>
              <w:jc w:val="center"/>
            </w:pPr>
            <w:r>
              <w:rPr>
                <w:rFonts w:ascii="Times New Roman" w:cs="Times New Roman" w:eastAsia="Times New Roman" w:hAnsi="Times New Roman"/>
                <w:b/>
                <w:bCs/>
                <w:i w:val="false"/>
                <w:iCs w:val="false"/>
                <w:sz w:val="20"/>
                <w:szCs w:val="20"/>
              </w:rPr>
              <w:t xml:space="preserve">Πηγή</w:t>
            </w:r>
          </w:p>
        </w:tc>
      </w:tr>
      <w:tr>
        <w:tc>
          <w:tcPr>
            <w:tcW w:type="pct" w:w="33%"/>
          </w:tcPr>
          <w:p>
            <w:pPr>
              <w:spacing w:after="40" w:before="40"/>
              <w:jc w:val="left"/>
            </w:pPr>
            <w:r>
              <w:rPr>
                <w:rFonts w:ascii="Times New Roman" w:cs="Times New Roman" w:eastAsia="Times New Roman" w:hAnsi="Times New Roman"/>
                <w:b w:val="false"/>
                <w:bCs w:val="false"/>
                <w:i w:val="false"/>
                <w:iCs w:val="false"/>
                <w:sz w:val="20"/>
                <w:szCs w:val="20"/>
              </w:rPr>
              <w:t xml:space="preserve">Η ομαδική εκπαίδευση βελτιώνει τη λειτουργική απόδοση</w:t>
            </w:r>
          </w:p>
        </w:tc>
        <w:tc>
          <w:tcPr>
            <w:tcW w:type="pct" w:w="33%"/>
          </w:tcPr>
          <w:p>
            <w:pPr>
              <w:spacing w:after="40" w:before="40"/>
              <w:jc w:val="left"/>
            </w:pPr>
            <w:r>
              <w:rPr>
                <w:rFonts w:ascii="Times New Roman" w:cs="Times New Roman" w:eastAsia="Times New Roman" w:hAnsi="Times New Roman"/>
                <w:b w:val="false"/>
                <w:bCs w:val="false"/>
                <w:i w:val="false"/>
                <w:iCs w:val="false"/>
                <w:sz w:val="20"/>
                <w:szCs w:val="20"/>
              </w:rPr>
              <w:t xml:space="preserve">Πυροσβεστικά πληρώματα, ομάδες ΕΚΑΜ, διμοιρίες</w:t>
            </w:r>
          </w:p>
        </w:tc>
        <w:tc>
          <w:tcPr>
            <w:tcW w:type="pct" w:w="33%"/>
          </w:tcPr>
          <w:p>
            <w:pPr>
              <w:spacing w:after="40" w:before="40"/>
              <w:jc w:val="left"/>
            </w:pPr>
            <w:r>
              <w:rPr>
                <w:rFonts w:ascii="Times New Roman" w:cs="Times New Roman" w:eastAsia="Times New Roman" w:hAnsi="Times New Roman"/>
                <w:b w:val="false"/>
                <w:bCs w:val="false"/>
                <w:i w:val="false"/>
                <w:iCs w:val="false"/>
                <w:sz w:val="20"/>
                <w:szCs w:val="20"/>
              </w:rPr>
              <w:t xml:space="preserve">Salas et al., 2008</w:t>
            </w:r>
          </w:p>
        </w:tc>
      </w:tr>
      <w:tr>
        <w:tc>
          <w:tcPr>
            <w:tcW w:type="pct" w:w="33%"/>
          </w:tcPr>
          <w:p>
            <w:pPr>
              <w:spacing w:after="40" w:before="40"/>
              <w:jc w:val="left"/>
            </w:pPr>
            <w:r>
              <w:rPr>
                <w:rFonts w:ascii="Times New Roman" w:cs="Times New Roman" w:eastAsia="Times New Roman" w:hAnsi="Times New Roman"/>
                <w:b w:val="false"/>
                <w:bCs w:val="false"/>
                <w:i w:val="false"/>
                <w:iCs w:val="false"/>
                <w:sz w:val="20"/>
                <w:szCs w:val="20"/>
              </w:rPr>
              <w:t xml:space="preserve">Deliberate practice απαιτεί σαφείς στόχους και ανατροφοδότηση</w:t>
            </w:r>
          </w:p>
        </w:tc>
        <w:tc>
          <w:tcPr>
            <w:tcW w:type="pct" w:w="33%"/>
          </w:tcPr>
          <w:p>
            <w:pPr>
              <w:spacing w:after="40" w:before="40"/>
              <w:jc w:val="left"/>
            </w:pPr>
            <w:r>
              <w:rPr>
                <w:rFonts w:ascii="Times New Roman" w:cs="Times New Roman" w:eastAsia="Times New Roman" w:hAnsi="Times New Roman"/>
                <w:b w:val="false"/>
                <w:bCs w:val="false"/>
                <w:i w:val="false"/>
                <w:iCs w:val="false"/>
                <w:sz w:val="20"/>
                <w:szCs w:val="20"/>
              </w:rPr>
              <w:t xml:space="preserve">Σκοποβολή, CQB, ασκήσεις βολής, κατάσβεση</w:t>
            </w:r>
          </w:p>
        </w:tc>
        <w:tc>
          <w:tcPr>
            <w:tcW w:type="pct" w:w="33%"/>
          </w:tcPr>
          <w:p>
            <w:pPr>
              <w:spacing w:after="40" w:before="40"/>
              <w:jc w:val="left"/>
            </w:pPr>
            <w:r>
              <w:rPr>
                <w:rFonts w:ascii="Times New Roman" w:cs="Times New Roman" w:eastAsia="Times New Roman" w:hAnsi="Times New Roman"/>
                <w:b w:val="false"/>
                <w:bCs w:val="false"/>
                <w:i w:val="false"/>
                <w:iCs w:val="false"/>
                <w:sz w:val="20"/>
                <w:szCs w:val="20"/>
              </w:rPr>
              <w:t xml:space="preserve">Ericsson et al., 1993</w:t>
            </w:r>
          </w:p>
        </w:tc>
      </w:tr>
      <w:tr>
        <w:tc>
          <w:tcPr>
            <w:tcW w:type="pct" w:w="33%"/>
          </w:tcPr>
          <w:p>
            <w:pPr>
              <w:spacing w:after="40" w:before="40"/>
              <w:jc w:val="left"/>
            </w:pPr>
            <w:r>
              <w:rPr>
                <w:rFonts w:ascii="Times New Roman" w:cs="Times New Roman" w:eastAsia="Times New Roman" w:hAnsi="Times New Roman"/>
                <w:b w:val="false"/>
                <w:bCs w:val="false"/>
                <w:i w:val="false"/>
                <w:iCs w:val="false"/>
                <w:sz w:val="20"/>
                <w:szCs w:val="20"/>
              </w:rPr>
              <w:t xml:space="preserve">Skill decay: δεξιότητες φθίνουν χωρίς εξάσκηση</w:t>
            </w:r>
          </w:p>
        </w:tc>
        <w:tc>
          <w:tcPr>
            <w:tcW w:type="pct" w:w="33%"/>
          </w:tcPr>
          <w:p>
            <w:pPr>
              <w:spacing w:after="40" w:before="40"/>
              <w:jc w:val="left"/>
            </w:pPr>
            <w:r>
              <w:rPr>
                <w:rFonts w:ascii="Times New Roman" w:cs="Times New Roman" w:eastAsia="Times New Roman" w:hAnsi="Times New Roman"/>
                <w:b w:val="false"/>
                <w:bCs w:val="false"/>
                <w:i w:val="false"/>
                <w:iCs w:val="false"/>
                <w:sz w:val="20"/>
                <w:szCs w:val="20"/>
              </w:rPr>
              <w:t xml:space="preserve">Βολή αστυνομίας, δασοπυρόσβεση εποχιακά</w:t>
            </w:r>
          </w:p>
        </w:tc>
        <w:tc>
          <w:tcPr>
            <w:tcW w:type="pct" w:w="33%"/>
          </w:tcPr>
          <w:p>
            <w:pPr>
              <w:spacing w:after="40" w:before="40"/>
              <w:jc w:val="left"/>
            </w:pPr>
            <w:r>
              <w:rPr>
                <w:rFonts w:ascii="Times New Roman" w:cs="Times New Roman" w:eastAsia="Times New Roman" w:hAnsi="Times New Roman"/>
                <w:b w:val="false"/>
                <w:bCs w:val="false"/>
                <w:i w:val="false"/>
                <w:iCs w:val="false"/>
                <w:sz w:val="20"/>
                <w:szCs w:val="20"/>
              </w:rPr>
              <w:t xml:space="preserve">Salas et al., 2012</w:t>
            </w:r>
          </w:p>
        </w:tc>
      </w:tr>
      <w:tr>
        <w:tc>
          <w:tcPr>
            <w:tcW w:type="pct" w:w="33%"/>
          </w:tcPr>
          <w:p>
            <w:pPr>
              <w:spacing w:after="40" w:before="40"/>
              <w:jc w:val="left"/>
            </w:pPr>
            <w:r>
              <w:rPr>
                <w:rFonts w:ascii="Times New Roman" w:cs="Times New Roman" w:eastAsia="Times New Roman" w:hAnsi="Times New Roman"/>
                <w:b w:val="false"/>
                <w:bCs w:val="false"/>
                <w:i w:val="false"/>
                <w:iCs w:val="false"/>
                <w:sz w:val="20"/>
                <w:szCs w:val="20"/>
              </w:rPr>
              <w:t xml:space="preserve">Δομημένο debriefing κρίσιμο για μάθηση</w:t>
            </w:r>
          </w:p>
        </w:tc>
        <w:tc>
          <w:tcPr>
            <w:tcW w:type="pct" w:w="33%"/>
          </w:tcPr>
          <w:p>
            <w:pPr>
              <w:spacing w:after="40" w:before="40"/>
              <w:jc w:val="left"/>
            </w:pPr>
            <w:r>
              <w:rPr>
                <w:rFonts w:ascii="Times New Roman" w:cs="Times New Roman" w:eastAsia="Times New Roman" w:hAnsi="Times New Roman"/>
                <w:b w:val="false"/>
                <w:bCs w:val="false"/>
                <w:i w:val="false"/>
                <w:iCs w:val="false"/>
                <w:sz w:val="20"/>
                <w:szCs w:val="20"/>
              </w:rPr>
              <w:t xml:space="preserve">AAR στρατού, debriefing ΠΣ</w:t>
            </w:r>
          </w:p>
        </w:tc>
        <w:tc>
          <w:tcPr>
            <w:tcW w:type="pct" w:w="33%"/>
          </w:tcPr>
          <w:p>
            <w:pPr>
              <w:spacing w:after="40" w:before="40"/>
              <w:jc w:val="left"/>
            </w:pPr>
            <w:r>
              <w:rPr>
                <w:rFonts w:ascii="Times New Roman" w:cs="Times New Roman" w:eastAsia="Times New Roman" w:hAnsi="Times New Roman"/>
                <w:b w:val="false"/>
                <w:bCs w:val="false"/>
                <w:i w:val="false"/>
                <w:iCs w:val="false"/>
                <w:sz w:val="20"/>
                <w:szCs w:val="20"/>
              </w:rPr>
              <w:t xml:space="preserve">Kolb, 1984</w:t>
            </w:r>
          </w:p>
        </w:tc>
      </w:tr>
      <w:tr>
        <w:tc>
          <w:tcPr>
            <w:tcW w:type="pct" w:w="33%"/>
          </w:tcPr>
          <w:p>
            <w:pPr>
              <w:spacing w:after="40" w:before="40"/>
              <w:jc w:val="left"/>
            </w:pPr>
            <w:r>
              <w:rPr>
                <w:rFonts w:ascii="Times New Roman" w:cs="Times New Roman" w:eastAsia="Times New Roman" w:hAnsi="Times New Roman"/>
                <w:b w:val="false"/>
                <w:bCs w:val="false"/>
                <w:i w:val="false"/>
                <w:iCs w:val="false"/>
                <w:sz w:val="20"/>
                <w:szCs w:val="20"/>
              </w:rPr>
              <w:t xml:space="preserve">Stress inoculation μειώνει πανικό</w:t>
            </w:r>
          </w:p>
        </w:tc>
        <w:tc>
          <w:tcPr>
            <w:tcW w:type="pct" w:w="33%"/>
          </w:tcPr>
          <w:p>
            <w:pPr>
              <w:spacing w:after="40" w:before="40"/>
              <w:jc w:val="left"/>
            </w:pPr>
            <w:r>
              <w:rPr>
                <w:rFonts w:ascii="Times New Roman" w:cs="Times New Roman" w:eastAsia="Times New Roman" w:hAnsi="Times New Roman"/>
                <w:b w:val="false"/>
                <w:bCs w:val="false"/>
                <w:i w:val="false"/>
                <w:iCs w:val="false"/>
                <w:sz w:val="20"/>
                <w:szCs w:val="20"/>
              </w:rPr>
              <w:t xml:space="preserve">LIVEX, flashover, ομηρίες</w:t>
            </w:r>
          </w:p>
        </w:tc>
        <w:tc>
          <w:tcPr>
            <w:tcW w:type="pct" w:w="33%"/>
          </w:tcPr>
          <w:p>
            <w:pPr>
              <w:spacing w:after="40" w:before="40"/>
              <w:jc w:val="left"/>
            </w:pPr>
            <w:r>
              <w:rPr>
                <w:rFonts w:ascii="Times New Roman" w:cs="Times New Roman" w:eastAsia="Times New Roman" w:hAnsi="Times New Roman"/>
                <w:b w:val="false"/>
                <w:bCs w:val="false"/>
                <w:i w:val="false"/>
                <w:iCs w:val="false"/>
                <w:sz w:val="20"/>
                <w:szCs w:val="20"/>
              </w:rPr>
              <w:t xml:space="preserve">Grossman &amp; Christensen, 2008</w:t>
            </w:r>
          </w:p>
        </w:tc>
      </w:tr>
      <w:tr>
        <w:tc>
          <w:tcPr>
            <w:tcW w:type="pct" w:w="33%"/>
          </w:tcPr>
          <w:p>
            <w:pPr>
              <w:spacing w:after="40" w:before="40"/>
              <w:jc w:val="left"/>
            </w:pPr>
            <w:r>
              <w:rPr>
                <w:rFonts w:ascii="Times New Roman" w:cs="Times New Roman" w:eastAsia="Times New Roman" w:hAnsi="Times New Roman"/>
                <w:b w:val="false"/>
                <w:bCs w:val="false"/>
                <w:i w:val="false"/>
                <w:iCs w:val="false"/>
                <w:sz w:val="20"/>
                <w:szCs w:val="20"/>
              </w:rPr>
              <w:t xml:space="preserve">Αυτοαποτελεσματικότητα ως προστατευτικός παράγοντας κατά PTSD</w:t>
            </w:r>
          </w:p>
        </w:tc>
        <w:tc>
          <w:tcPr>
            <w:tcW w:type="pct" w:w="33%"/>
          </w:tcPr>
          <w:p>
            <w:pPr>
              <w:spacing w:after="40" w:before="40"/>
              <w:jc w:val="left"/>
            </w:pPr>
            <w:r>
              <w:rPr>
                <w:rFonts w:ascii="Times New Roman" w:cs="Times New Roman" w:eastAsia="Times New Roman" w:hAnsi="Times New Roman"/>
                <w:b w:val="false"/>
                <w:bCs w:val="false"/>
                <w:i w:val="false"/>
                <w:iCs w:val="false"/>
                <w:sz w:val="20"/>
                <w:szCs w:val="20"/>
              </w:rPr>
              <w:t xml:space="preserve">Όλα τα σώματα ασφαλείας</w:t>
            </w:r>
          </w:p>
        </w:tc>
        <w:tc>
          <w:tcPr>
            <w:tcW w:type="pct" w:w="33%"/>
          </w:tcPr>
          <w:p>
            <w:pPr>
              <w:spacing w:after="40" w:before="40"/>
              <w:jc w:val="left"/>
            </w:pPr>
            <w:r>
              <w:rPr>
                <w:rFonts w:ascii="Times New Roman" w:cs="Times New Roman" w:eastAsia="Times New Roman" w:hAnsi="Times New Roman"/>
                <w:b w:val="false"/>
                <w:bCs w:val="false"/>
                <w:i w:val="false"/>
                <w:iCs w:val="false"/>
                <w:sz w:val="20"/>
                <w:szCs w:val="20"/>
              </w:rPr>
              <w:t xml:space="preserve">Kleim &amp; Westphal, 2011</w:t>
            </w:r>
          </w:p>
        </w:tc>
      </w:tr>
      <w:tr>
        <w:tc>
          <w:tcPr>
            <w:tcW w:type="pct" w:w="33%"/>
          </w:tcPr>
          <w:p>
            <w:pPr>
              <w:spacing w:after="40" w:before="40"/>
              <w:jc w:val="left"/>
            </w:pPr>
            <w:r>
              <w:rPr>
                <w:rFonts w:ascii="Times New Roman" w:cs="Times New Roman" w:eastAsia="Times New Roman" w:hAnsi="Times New Roman"/>
                <w:b w:val="false"/>
                <w:bCs w:val="false"/>
                <w:i w:val="false"/>
                <w:iCs w:val="false"/>
                <w:sz w:val="20"/>
                <w:szCs w:val="20"/>
              </w:rPr>
              <w:t xml:space="preserve">NTS αναπτύσσονται μόνο μέσω πρακτικής</w:t>
            </w:r>
          </w:p>
        </w:tc>
        <w:tc>
          <w:tcPr>
            <w:tcW w:type="pct" w:w="33%"/>
          </w:tcPr>
          <w:p>
            <w:pPr>
              <w:spacing w:after="40" w:before="40"/>
              <w:jc w:val="left"/>
            </w:pPr>
            <w:r>
              <w:rPr>
                <w:rFonts w:ascii="Times New Roman" w:cs="Times New Roman" w:eastAsia="Times New Roman" w:hAnsi="Times New Roman"/>
                <w:b w:val="false"/>
                <w:bCs w:val="false"/>
                <w:i w:val="false"/>
                <w:iCs w:val="false"/>
                <w:sz w:val="20"/>
                <w:szCs w:val="20"/>
              </w:rPr>
              <w:t xml:space="preserve">Διυπηρεσιακός συντονισμός, ηγεσία</w:t>
            </w:r>
          </w:p>
        </w:tc>
        <w:tc>
          <w:tcPr>
            <w:tcW w:type="pct" w:w="33%"/>
          </w:tcPr>
          <w:p>
            <w:pPr>
              <w:spacing w:after="40" w:before="40"/>
              <w:jc w:val="left"/>
            </w:pPr>
            <w:r>
              <w:rPr>
                <w:rFonts w:ascii="Times New Roman" w:cs="Times New Roman" w:eastAsia="Times New Roman" w:hAnsi="Times New Roman"/>
                <w:b w:val="false"/>
                <w:bCs w:val="false"/>
                <w:i w:val="false"/>
                <w:iCs w:val="false"/>
                <w:sz w:val="20"/>
                <w:szCs w:val="20"/>
              </w:rPr>
              <w:t xml:space="preserve">Flin et al., 2008</w:t>
            </w:r>
          </w:p>
        </w:tc>
      </w:tr>
    </w:tbl>
    <w:p>
      <w:pPr>
        <w:spacing w:after="200"/>
      </w:pPr>
    </w:p>
    <w:p>
      <w:pPr>
        <w:pageBreakBefore/>
        <w:spacing w:after="240" w:before="480" w:line="360"/>
        <w:jc w:val="center"/>
      </w:pPr>
      <w:r>
        <w:rPr>
          <w:rFonts w:ascii="Times New Roman" w:cs="Times New Roman" w:eastAsia="Times New Roman" w:hAnsi="Times New Roman"/>
          <w:b/>
          <w:bCs/>
          <w:i w:val="false"/>
          <w:iCs w:val="false"/>
          <w:sz w:val="28"/>
          <w:szCs w:val="28"/>
        </w:rPr>
        <w:t xml:space="preserve">ΚΕΦΑΛΑΙΟ 5: ΔΙΕΘΝΗΣ ΣΥΝΕΡΓΑΣΙΑ, CASE STUDIES ΚΑΙ ΠΑΡΑΔΕΙΓΜΑΤΑ ΑΣΚΗΣΕΩΝ</w:t>
      </w:r>
    </w:p>
    <w:p>
      <w:pPr>
        <w:spacing w:after="200" w:before="360" w:line="360"/>
        <w:jc w:val="left"/>
      </w:pPr>
      <w:r>
        <w:rPr>
          <w:rFonts w:ascii="Times New Roman" w:cs="Times New Roman" w:eastAsia="Times New Roman" w:hAnsi="Times New Roman"/>
          <w:b/>
          <w:bCs/>
          <w:i w:val="false"/>
          <w:iCs w:val="false"/>
          <w:sz w:val="26"/>
          <w:szCs w:val="26"/>
        </w:rPr>
        <w:t xml:space="preserve">5.1 Πλαίσια διεθνούς συνεργασίας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διεθνής συνεργασία στον τομέα της εκπαίδευσης και των ασκήσεων πραγματοποιείται μέσα από πολλαπλά πλαίσια. Για τις Ένοπλες Δυνάμεις, το NATO αποτελεί τον κεντρικό μηχανισμό: κοινές ασκήσεις (Trident Juncture, Defender Europe), πρότυπα εκπαίδευσης (STANAG), κοινά δόγματα. Για τα σώματα ασφαλείας, η Ευρωπαϊκή Ένωση παρέχει αντίστοιχα πλαίσια: ο Ευρωπαϊκός Μηχανισμός Πολιτικής Προστασίας (UCPM) με τις ασκήσεις MODEX για πυροσβέστες και ομάδες USAR, η Europol με το δίκτυο ATLAS για αντιτρομοκρατικές μονάδες (ΕΚΑΜ, GIGN, GSG-9), και η CEPOL (Ακαδημία Αστυνομίας της ΕΕ) για αστυνομική εκπαίδευση.</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Ελλάδα συμμετέχει ενεργά σε όλα αυτά τα πλαίσια. Οι Ένοπλες Δυνάμεις φιλοξενούν τακτικά ασκήσεις NATO σε ελληνικό έδαφος (π.χ. «Iniochos» — αεροπορική), το ΠΣ συμμετέχει σε MODEX μέσω της ΕΜΑΚ, η ΕΛ.ΑΣ. εκπαιδεύεται σε ασκήσεις ATLAS. Η αξία αυτών των ασκήσεων εκτείνεται πέραν της τεχνικής εκπαίδευσης: δοκιμάζεται η διαλειτουργικότητα, η κοινή γλώσσα, η ικανότητα συνεργασίας σε πολυεθνικό περιβάλλον.</w:t>
      </w:r>
    </w:p>
    <w:p>
      <w:pPr>
        <w:spacing w:after="200" w:before="360" w:line="360"/>
        <w:jc w:val="left"/>
      </w:pPr>
      <w:r>
        <w:rPr>
          <w:rFonts w:ascii="Times New Roman" w:cs="Times New Roman" w:eastAsia="Times New Roman" w:hAnsi="Times New Roman"/>
          <w:b/>
          <w:bCs/>
          <w:i w:val="false"/>
          <w:iCs w:val="false"/>
          <w:sz w:val="26"/>
          <w:szCs w:val="26"/>
        </w:rPr>
        <w:t xml:space="preserve">5.2 Case Study 1: Η πυρκαγιά στο Μάτι (2018) — Αστοχίες και διδάγματα</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Στις 23 Ιουλίου 2018, θυελλώδεις άνεμοι (80-100+ χλμ./ώρα) οδήγησαν μια δασική πυρκαγιά μέσα στην κατοικημένη περιοχή του Ματιού, με τραγικό απολογισμό 104 νεκρών — η πλέον θανατηφόρα πυρκαγιά στην Ευρώπη εδώ και δεκαετίες (Lagouvardos et al., 2019). Η ανάλυση κατέδειξε πολλαπλές αστοχίες σχετικές με την εκπαίδευση και τη διυπηρεσιακή ετοιμότητα.</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Πρώτον, τα σχέδια εκκένωσης δεν είχαν δοκιμαστεί σε πραγματικές ασκήσεις — με αποτέλεσμα οι πολίτες να κατευθυνθούν σε αδιέξοδα. Δεύτερον, η επικοινωνία μεταξύ ΠΣ, ΕΛ.ΑΣ., Λιμενικού και Πολιτικής Προστασίας παρουσίασε σοβαρά κενά: διαφορετικά ασύρματα δίκτυα, ελλιπής μετάδοση πληροφοριών, ασαφείς αρμοδιότητες. Τρίτον, η Τροχαία δυσκολεύτηκε να εφαρμόσει κυκλοφοριακές ρυθμίσεις σε μια κατάσταση χαοτικής φυγής πολιτών. Τέταρτον, η ταχύτητα εξέλιξης ξεπέρασε κάθε εμπειρία.</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Το Μάτι τεκμηρίωσε με τραγικό τρόπο τη ρήση ότι «κανένα σχέδιο δεν επιβιώνει από την πρώτη επαφή με την πραγματικότητα, εκτός εάν έχει δοκιμαστεί πρώτα σε άσκηση». Μετά το 2018, εντατικοποιήθηκαν οι ασκήσεις εκκένωσης, βελτιώθηκαν τα πρωτόκολλα επικοινωνίας, και δόθηκε μεγαλύτερη έμφαση στη δοκιμή σχεδίων μέσω πολυφορεακών ασκήσεων. Τα αποτελέσματα ήταν ορατά στις μεγάλες πυρκαγιές του 2021: παρά τη μεγαλύτερη κλίμακα, ο αριθμός θυμάτων ήταν δραματικά μικρότερος.</w:t>
      </w:r>
    </w:p>
    <w:p>
      <w:pPr>
        <w:spacing w:after="200" w:before="360" w:line="360"/>
        <w:jc w:val="left"/>
      </w:pPr>
      <w:r>
        <w:rPr>
          <w:rFonts w:ascii="Times New Roman" w:cs="Times New Roman" w:eastAsia="Times New Roman" w:hAnsi="Times New Roman"/>
          <w:b/>
          <w:bCs/>
          <w:i w:val="false"/>
          <w:iCs w:val="false"/>
          <w:sz w:val="26"/>
          <w:szCs w:val="26"/>
        </w:rPr>
        <w:t xml:space="preserve">5.3 Case Study 2: Στρατιωτικές ασκήσεις NATO — Defender Europe</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σειρά ασκήσεων «Defender Europe» αποτελεί μία από τις μεγαλύτερες στρατιωτικές ασκήσεις στην Ευρώπη μετά τον Ψυχρό Πόλεμο. Η «Defender Europe 2021», στην οποία συμμετείχαν 28.000 στρατιωτικοί από 26 χώρες, περιελάμβανε σενάρια μεγάλης κλίμακας μετακίνησης δυνάμεων, αμφίβιων αποβάσεων, αεραποβατικών επιχειρήσεων και ηλεκτρονικού πολέμου. Η Ελλάδα συμμετείχε με δυνάμεις του Δ' Σώματος Στρατού.</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αξία της Defender Europe για την ελληνική στρατιωτική ετοιμότητα είναι πολλαπλή. Πρώτον, δοκιμάζεται η ικανότητα μεταφοράς και ανάπτυξης δυνάμεων (force deployment) — μια λογιστική δεξιότητα που δεν μπορεί να εξασκηθεί θεωρητικά. Δεύτερον, η αλληλεπίδραση με δυνάμεις άλλων χωρών δοκιμάζει τη διαλειτουργικότητα: κοινή ορολογία (NATO STANAG), κοινά πρωτόκολλα, συμβατότητα συστημάτων επικοινωνίας. Τρίτον, η κλίμακα της άσκησης πλησιάζει αυτήν μιας πραγματικής κρίσης — κάτι που δεν μπορεί να αναπαραχθεί σε εθνικό επίπεδο.</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Μετά την εισβολή στην Ουκρανία (2022), οι ασκήσεις NATO αυξήθηκαν σε ένταση και συχνότητα. Η αίσθηση ότι μια συμβατική σύγκρουση δεν αποτελεί πλέον θεωρητική πιθανότητα αλλά πραγματικό ενδεχόμενο ενίσχυσε τη σοβαρότητα με την οποία αντιμετωπίζονται οι ασκήσεις. Η φράση «train as you fight» — εκπαιδεύσου όπως θα πολεμήσεις — απέκτησε νέα επικαιρότητα.</w:t>
      </w:r>
    </w:p>
    <w:p>
      <w:pPr>
        <w:spacing w:after="200" w:before="360" w:line="360"/>
        <w:jc w:val="left"/>
      </w:pPr>
      <w:r>
        <w:rPr>
          <w:rFonts w:ascii="Times New Roman" w:cs="Times New Roman" w:eastAsia="Times New Roman" w:hAnsi="Times New Roman"/>
          <w:b/>
          <w:bCs/>
          <w:i w:val="false"/>
          <w:iCs w:val="false"/>
          <w:sz w:val="26"/>
          <w:szCs w:val="26"/>
        </w:rPr>
        <w:t xml:space="preserve">5.4 Case Study 3: Ασκήσεις MODEX και η ΕΜΑΚ</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Οι ασκήσεις MODEX (Module Exercises) αποτελούν τον κεντρικό μηχανισμό εκπαίδευσης του UCPM. Η ΕΜΑΚ του ΠΣ συμμετέχει τακτικά: σενάρια σεισμού, κατάρρευσης κτιρίων, πλημμυρών, CBRN περιστατικών. Τα σενάρια σχεδιάζονται σε συνεργασία με DG ECHO, και τυποποιημένοι αξιολογητές βαθμολογούν βάσει κριτηρίων INSARAG (2020).</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εμπειρία σε MODEX αποδίδει σε πραγματικές αποστολές. Στον σεισμό Τουρκίας (Φεβρουάριος 2023, 7.8 Ρίχτερ), η ΕΜΑΚ ανέσυρε ζωντανούς ανθρώπους από ερείπια — αξιοποιώντας δεξιότητες που είχαν εξασκηθεί σε MODEX. Η ομάδα γνώριζε τα πρωτόκολλα INSARAG, μπορούσε να επικοινωνήσει με ομάδες άλλων χωρών, και είχε εμπειρία λειτουργίας σε ξένο περιβάλλον — όλα χάρη στη συστηματική συμμετοχή σε ασκήσεις.</w:t>
      </w:r>
    </w:p>
    <w:p>
      <w:pPr>
        <w:spacing w:after="200" w:before="360" w:line="360"/>
        <w:jc w:val="left"/>
      </w:pPr>
      <w:r>
        <w:rPr>
          <w:rFonts w:ascii="Times New Roman" w:cs="Times New Roman" w:eastAsia="Times New Roman" w:hAnsi="Times New Roman"/>
          <w:b/>
          <w:bCs/>
          <w:i w:val="false"/>
          <w:iCs w:val="false"/>
          <w:sz w:val="26"/>
          <w:szCs w:val="26"/>
        </w:rPr>
        <w:t xml:space="preserve">5.5 Case Study 4: Αστυνομική αντιτρομοκρατική εκπαίδευση — ATLAS Network</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Το δίκτυο ATLAS (Atlas Network of Special Intervention Units) ιδρύθηκε το 2001 υπό την αιγίδα της Europol και ενώνει τις αντιτρομοκρατικές μονάδες των κρατών-μελών της ΕΕ: ΕΚΑΜ (Ελλάδα), GIGN (Γαλλία), GSG-9 (Γερμανία), GIS (Ιταλία), GEO (Ισπανία) κ.ά. Σκοπός του δικτύου είναι η ενίσχυση της ικανότητας κοινής αντίδρασης σε τρομοκρατικά χτυπήματα στο έδαφος της ΕΕ.</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Οι ασκήσεις ATLAS περιλαμβάνουν σενάρια που αντικατοπτρίζουν πραγματικές απειλές: ομηρία σε αεροσκάφος, τρομοκρατική επίθεση σε σταθμό μετρό, ταυτόχρονα χτυπήματα σε πολλαπλά σημεία μιας πόλης (κατά το πρότυπο Παρισιού 2015), ένοπλος σε σχολείο (active shooter). Οι ασκήσεις πραγματοποιούνται σε πραγματικές τοποθεσίες (αεροδρόμια, σταθμοί τρένων, εμπορικά κέντρα) με χρήση εκπαιδευτικών πυρομαχικών (simunition) και ηθοποιών-«θυμάτων».</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αξία για την ΕΚΑΜ είναι πολύπλευρη: εξοικείωση με τακτικές που εφαρμόζονται σε άλλες χώρες (π.χ. γαλλική τακτική rapid intervention σε ενεργό ένοπλο vs. γερμανική τακτική contain-and-negotiate), δοκιμή εξοπλισμού, ανάπτυξη σχέσεων εμπιστοσύνης με αντίστοιχες μονάδες που ενδεχομένως θα κληθούν να συνεργαστούν σε πραγματική κρίση. Η επίθεση στο Bataclan (Παρίσι, 2015) κατέδειξε ότι η ταχύτητα αντίδρασης ειδικών μονάδων αποτελεί ζήτημα ζωής και θανάτου — και η ταχύτητα αυτή εξαρτάται κρίσιμα από τη συστηματική εκπαίδευση.</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Ο Πίνακας 5 συνοψίζει τα τέσσερα case studies.</w:t>
      </w:r>
    </w:p>
    <w:p>
      <w:pPr>
        <w:spacing w:after="120" w:before="240" w:line="360"/>
        <w:jc w:val="center"/>
      </w:pPr>
      <w:r>
        <w:rPr>
          <w:rFonts w:ascii="Times New Roman" w:cs="Times New Roman" w:eastAsia="Times New Roman" w:hAnsi="Times New Roman"/>
          <w:b/>
          <w:bCs/>
          <w:i/>
          <w:iCs/>
          <w:sz w:val="22"/>
          <w:szCs w:val="22"/>
        </w:rPr>
        <w:t xml:space="preserve">Πίνακας 5: Σύνοψη case studies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color="D9E2F3" w:val="solid"/>
          </w:tcPr>
          <w:p>
            <w:pPr>
              <w:spacing w:after="60" w:before="60"/>
              <w:jc w:val="center"/>
            </w:pPr>
            <w:r>
              <w:rPr>
                <w:rFonts w:ascii="Times New Roman" w:cs="Times New Roman" w:eastAsia="Times New Roman" w:hAnsi="Times New Roman"/>
                <w:b/>
                <w:bCs/>
                <w:i w:val="false"/>
                <w:iCs w:val="false"/>
                <w:sz w:val="20"/>
                <w:szCs w:val="20"/>
              </w:rPr>
              <w:t xml:space="preserve">Case Study</w:t>
            </w:r>
          </w:p>
        </w:tc>
        <w:tc>
          <w:tcPr>
            <w:tcW w:type="pct" w:w="25%"/>
            <w:shd w:color="D9E2F3" w:val="solid"/>
          </w:tcPr>
          <w:p>
            <w:pPr>
              <w:spacing w:after="60" w:before="60"/>
              <w:jc w:val="center"/>
            </w:pPr>
            <w:r>
              <w:rPr>
                <w:rFonts w:ascii="Times New Roman" w:cs="Times New Roman" w:eastAsia="Times New Roman" w:hAnsi="Times New Roman"/>
                <w:b/>
                <w:bCs/>
                <w:i w:val="false"/>
                <w:iCs w:val="false"/>
                <w:sz w:val="20"/>
                <w:szCs w:val="20"/>
              </w:rPr>
              <w:t xml:space="preserve">Φορέας</w:t>
            </w:r>
          </w:p>
        </w:tc>
        <w:tc>
          <w:tcPr>
            <w:tcW w:type="pct" w:w="25%"/>
            <w:shd w:color="D9E2F3" w:val="solid"/>
          </w:tcPr>
          <w:p>
            <w:pPr>
              <w:spacing w:after="60" w:before="60"/>
              <w:jc w:val="center"/>
            </w:pPr>
            <w:r>
              <w:rPr>
                <w:rFonts w:ascii="Times New Roman" w:cs="Times New Roman" w:eastAsia="Times New Roman" w:hAnsi="Times New Roman"/>
                <w:b/>
                <w:bCs/>
                <w:i w:val="false"/>
                <w:iCs w:val="false"/>
                <w:sz w:val="20"/>
                <w:szCs w:val="20"/>
              </w:rPr>
              <w:t xml:space="preserve">Βασικό δίδαγμα</w:t>
            </w:r>
          </w:p>
        </w:tc>
        <w:tc>
          <w:tcPr>
            <w:tcW w:type="pct" w:w="25%"/>
            <w:shd w:color="D9E2F3" w:val="solid"/>
          </w:tcPr>
          <w:p>
            <w:pPr>
              <w:spacing w:after="60" w:before="60"/>
              <w:jc w:val="center"/>
            </w:pPr>
            <w:r>
              <w:rPr>
                <w:rFonts w:ascii="Times New Roman" w:cs="Times New Roman" w:eastAsia="Times New Roman" w:hAnsi="Times New Roman"/>
                <w:b/>
                <w:bCs/>
                <w:i w:val="false"/>
                <w:iCs w:val="false"/>
                <w:sz w:val="20"/>
                <w:szCs w:val="20"/>
              </w:rPr>
              <w:t xml:space="preserve">Σχέση με εκπαίδευση</w:t>
            </w:r>
          </w:p>
        </w:tc>
      </w:tr>
      <w:tr>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Πυρκαγιά Μάτι (2018)</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ΠΣ, ΕΛ.ΑΣ., Πολ. Προστασία</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Αστοχία διυπηρεσιακού συντονισμού</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Ανάγκη πολυφορεακών ασκήσεων, δοκιμή σχεδίων</w:t>
            </w:r>
          </w:p>
        </w:tc>
      </w:tr>
      <w:tr>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Defender Europe (NATO)</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Ένοπλες Δυνάμεις</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Διαλειτουργικότητα, μεταφορά δυνάμεων</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Μεγάλης κλίμακας ασκήσεις αυξάνουν ετοιμότητα</w:t>
            </w:r>
          </w:p>
        </w:tc>
      </w:tr>
      <w:tr>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MODEX / ΕΜΑΚ</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ΠΣ (ΕΜΑΚ)</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Εκπαίδευση αποδίδει σε πραγματικές αποστολές</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Συστηματική εξάσκηση σε USAR σώζει ζωές</w:t>
            </w:r>
          </w:p>
        </w:tc>
      </w:tr>
      <w:tr>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ATLAS Network</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ΕΛ.ΑΣ. (ΕΚΑΜ)</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Ταχύτητα αντίδρασης σε τρομοκρατία</w:t>
            </w:r>
          </w:p>
        </w:tc>
        <w:tc>
          <w:tcPr>
            <w:tcW w:type="pct" w:w="25%"/>
          </w:tcPr>
          <w:p>
            <w:pPr>
              <w:spacing w:after="40" w:before="40"/>
              <w:jc w:val="left"/>
            </w:pPr>
            <w:r>
              <w:rPr>
                <w:rFonts w:ascii="Times New Roman" w:cs="Times New Roman" w:eastAsia="Times New Roman" w:hAnsi="Times New Roman"/>
                <w:b w:val="false"/>
                <w:bCs w:val="false"/>
                <w:i w:val="false"/>
                <w:iCs w:val="false"/>
                <w:sz w:val="20"/>
                <w:szCs w:val="20"/>
              </w:rPr>
              <w:t xml:space="preserve">Κοινές ασκήσεις ΕΕ ενισχύουν διαλειτουργικότητα</w:t>
            </w:r>
          </w:p>
        </w:tc>
      </w:tr>
    </w:tbl>
    <w:p>
      <w:pPr>
        <w:spacing w:after="200"/>
      </w:pPr>
    </w:p>
    <w:p>
      <w:pPr>
        <w:pageBreakBefore/>
        <w:spacing w:after="240" w:before="480" w:line="360"/>
        <w:jc w:val="center"/>
      </w:pPr>
      <w:r>
        <w:rPr>
          <w:rFonts w:ascii="Times New Roman" w:cs="Times New Roman" w:eastAsia="Times New Roman" w:hAnsi="Times New Roman"/>
          <w:b/>
          <w:bCs/>
          <w:i w:val="false"/>
          <w:iCs w:val="false"/>
          <w:sz w:val="28"/>
          <w:szCs w:val="28"/>
        </w:rPr>
        <w:t xml:space="preserve">ΚΕΦΑΛΑΙΟ 6: Ο ΡΟΛΟΣ ΤΗΣ ΤΕΧΝΟΛΟΓΙΑΣ ΣΤΗΝ ΕΚΠΑΙΔΕΥΣΗ ΤΩΝ ΣΩΜΑΤΩΝ ΑΣΦΑΛΕΙΑΣ</w:t>
      </w:r>
    </w:p>
    <w:p>
      <w:pPr>
        <w:spacing w:after="200" w:before="360" w:line="360"/>
        <w:jc w:val="left"/>
      </w:pPr>
      <w:r>
        <w:rPr>
          <w:rFonts w:ascii="Times New Roman" w:cs="Times New Roman" w:eastAsia="Times New Roman" w:hAnsi="Times New Roman"/>
          <w:b/>
          <w:bCs/>
          <w:i w:val="false"/>
          <w:iCs w:val="false"/>
          <w:sz w:val="26"/>
          <w:szCs w:val="26"/>
        </w:rPr>
        <w:t xml:space="preserve">6.1 Προσομοιωτές εκπαίδευσης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Οι προσομοιωτές αποτελούν εδώ και δεκαετίες εργαλείο εκπαίδευσης σε επαγγέλματα υψηλού κινδύνου. Στον στρατό, οι προσομοιωτές βολής επιτρέπουν την εξάσκηση χωρίς κατανάλωση πυρομαχικών: συστήματα laser (MILES — Multiple Integrated Laser Engagement System) προσομοιώνουν μάχη μεταξύ μονάδων με ρεαλιστική ανατροφοδότηση (αν χτυπηθείς, το σύστημα σε «σκοτώνει»). Στην αστυνομία, οι προσομοιωτές σκοποβολής (π.χ. FATS — Firearms Training Simulator) παρέχουν σενάρια λήψης αποφάσεων: ένας ύποπτος βγάζει αντικείμενο — είναι όπλο ή κινητό; Η ταχύτητα και η ορθότητα της απόφασης αξιολογούνται.</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Στο ΠΣ, οι φυσικοί προσομοιωτές (flashover containers) δημιουργούν πραγματικές συνθήκες θερμοκρασίας και καπνού: ο εκπαιδευόμενος βιώνει το φαινόμενο flashover (ραγδαία εξάπλωση φωτιάς σε κλειστό χώρο) υπό ελεγχόμενες συνθήκες. Η ανασκόπηση των Williams-Bell et al. (2015) κατέδειξε ότι οι προσομοιωτές βελτιώνουν κυρίως τις γνωστικές δεξιότητες (λήψη αποφάσεων, κατανόηση κατάστασης) και λιγότερο τις κινητικές — εύρημα που ισχύει σε κάθε σώμα. Οι προσομοιωτές δεν αντικαθιστούν αλλά συμπληρώνουν τις ασκήσεις πεδίου.</w:t>
      </w:r>
    </w:p>
    <w:p>
      <w:pPr>
        <w:spacing w:after="200" w:before="360" w:line="360"/>
        <w:jc w:val="left"/>
      </w:pPr>
      <w:r>
        <w:rPr>
          <w:rFonts w:ascii="Times New Roman" w:cs="Times New Roman" w:eastAsia="Times New Roman" w:hAnsi="Times New Roman"/>
          <w:b/>
          <w:bCs/>
          <w:i w:val="false"/>
          <w:iCs w:val="false"/>
          <w:sz w:val="26"/>
          <w:szCs w:val="26"/>
        </w:rPr>
        <w:t xml:space="preserve">6.2 Εικονική (VR) και επαυξημένη πραγματικότητα (AR)</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εικονική πραγματικότητα (VR) εισάγει τον εκπαιδευόμενο σε πλήρως ψηφιακό περιβάλλον, ενώ η επαυξημένη πραγματικότητα (AR) επικαλύπτει ψηφιακές πληροφορίες στον πραγματικό κόσμο. Στον στρατό, η VR χρησιμοποιείται για εκπαίδευση σε τακτικές κινήσεις σε αστικό περιβάλλον (MOUT — Military Operations on Urbanized Terrain), εκπαίδευση πιλότων μαχητικών αεροσκαφών, εκπαίδευση χειριστών αρμάτων μάχης. Στην αστυνομία, η VR επιτρέπει εξάσκηση σε σενάρια use-of-force (χρήσης βίας) χωρίς κίνδυνο — ο εκπαιδευόμενος αντιμετωπίζει εικονικό ύποπτο και πρέπει να αποφασίσει τη σωστή κλίμακα αντίδρασης.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Στο πυροσβεστικό, η VR επιτρέπει εξάσκηση σε incident command: ο εκπαιδευόμενος «διοικεί» μια πυρκαγιά πολυώροφου κτιρίου, λαμβάνοντας δεκάδες αποφάσεις εντός λεπτών. Η AR χρησιμοποιείται για μετάδοση πληροφοριών σε πραγματικό χρόνο: θερμικές εικόνες μέσω μάσκας, κατόψεις κτιρίων, θέση μελών ομάδας.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τεχνολογία βρίσκεται σε στάδιο ωρίμανσης: περιορισμοί περιλαμβάνουν υψηλό κόστος, motion sickness, αδυναμία πλήρους αναπαραγωγής φυσικών αισθήσεων (θερμότητα, βάρος εξοπλισμού). Η μελλοντική ενσωμάτωση τεχνητής νοημοσύνης (AI) σε VR σενάρια θα επιτρέψει δυναμική προσαρμογή στις αποφάσεις του εκπαιδευομένου (Williams-Bell et al., 2015).</w:t>
      </w:r>
    </w:p>
    <w:p>
      <w:pPr>
        <w:spacing w:after="200" w:before="360" w:line="360"/>
        <w:jc w:val="left"/>
      </w:pPr>
      <w:r>
        <w:rPr>
          <w:rFonts w:ascii="Times New Roman" w:cs="Times New Roman" w:eastAsia="Times New Roman" w:hAnsi="Times New Roman"/>
          <w:b/>
          <w:bCs/>
          <w:i w:val="false"/>
          <w:iCs w:val="false"/>
          <w:sz w:val="26"/>
          <w:szCs w:val="26"/>
        </w:rPr>
        <w:t xml:space="preserve">6.3 Μη επανδρωμένα αεροσκάφη (drones)</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Τα drones αξιοποιούνται πλέον σε κάθε σώμα ασφαλείας. Στον στρατό: αναγνώριση, εντοπισμός στόχων, ηλεκτρονικός πόλεμος. Στην αστυνομία: παρακολούθηση, έρευνα, αντιμετώπιση εκδηλώσεων. Στο ΠΣ: εναέρια εποπτεία πυρκαγιών με θερμικές κάμερες, εντοπισμός εστιών, αξιολόγηση ζημιών (Akhloufi et al., 2021).</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Στην εκπαίδευση, τα drones αξιοποιούνται σε δύο επίπεδα. Ως εργαλείο εκπαίδευσης: οι εκπαιδευόμενοι μαθαίνουν χειρισμό UAS, ερμηνεία θερμικών εικόνων, τακτική αξιοποίηση δεδομένων. Ως μέσο αξιολόγησης ασκήσεων: η εναέρια καταγραφή παρέχει πολύτιμο υλικό για debriefing, αποτυπώνοντας κινήσεις ομάδων, αδυναμίες ανάπτυξης, χρονικές καθυστερήσεις — στοιχεία αδύνατο να εντοπιστούν από το έδαφος. Στην Ελλάδα, το ΠΣ εντάσσει drones στις αντιπυρικές επιχειρήσεις από το 2020, ενώ οι ΕΔ αναπτύσσουν ικανότητες τακτικών UAS.</w:t>
      </w:r>
    </w:p>
    <w:p>
      <w:pPr>
        <w:spacing w:after="200" w:before="360" w:line="360"/>
        <w:jc w:val="left"/>
      </w:pPr>
      <w:r>
        <w:rPr>
          <w:rFonts w:ascii="Times New Roman" w:cs="Times New Roman" w:eastAsia="Times New Roman" w:hAnsi="Times New Roman"/>
          <w:b/>
          <w:bCs/>
          <w:i w:val="false"/>
          <w:iCs w:val="false"/>
          <w:sz w:val="26"/>
          <w:szCs w:val="26"/>
        </w:rPr>
        <w:t xml:space="preserve">6.4 GIS, e-learning και λοιπές τεχνολογίες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Τα Γεωγραφικά Συστήματα Πληροφοριών (GIS) χρησιμοποιούνται στον σχεδιασμό ασκήσεων και επιχειρήσεων: χαρτογράφηση κινδύνου πυρκαγιάς (EFFIS), ανάλυση μορφολογίας εδάφους για στρατιωτικές ασκήσεις, χαρτογράφηση εγκληματικότητας για αστυνομία (hot-spot mapping). Η πρωτοποριακή εργασία των Chuvieco και Congalton (1989) τεκμηρίωσε τη δυνατότητα χαρτογράφησης δασικού κινδύνου μέσω δορυφορικών δεδομένων.</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ηλεκτρονική μάθηση (e-learning) αξιοποιείται σε κάθε σώμα: ο στρατός χρησιμοποιεί πλατφόρμες e-learning NATO (ADL — Advanced Distributed Learning), η αστυνομία αξιοποιεί εκπαιδευτικά modules CEPOL, το ΠΣ παρέχει θεωρητική ενημέρωση μέσω ψηφιακών πλατφορμών. Η μέθοδος αυτή παρέχει ευελιξία αλλά δεν αντικαθιστά την πρακτική εξάσκηση.</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Ο Πίνακας 6 συγκρίνει τις τεχνολογίες εκπαίδευσης.</w:t>
      </w:r>
    </w:p>
    <w:p>
      <w:pPr>
        <w:spacing w:after="120" w:before="240" w:line="360"/>
        <w:jc w:val="center"/>
      </w:pPr>
      <w:r>
        <w:rPr>
          <w:rFonts w:ascii="Times New Roman" w:cs="Times New Roman" w:eastAsia="Times New Roman" w:hAnsi="Times New Roman"/>
          <w:b/>
          <w:bCs/>
          <w:i/>
          <w:iCs/>
          <w:sz w:val="22"/>
          <w:szCs w:val="22"/>
        </w:rPr>
        <w:t xml:space="preserve">Πίνακας 6: Τεχνολογίες εκπαίδευσης σε σώματα ασφαλείας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color="D9E2F3" w:val="solid"/>
          </w:tcPr>
          <w:p>
            <w:pPr>
              <w:spacing w:after="60" w:before="60"/>
              <w:jc w:val="center"/>
            </w:pPr>
            <w:r>
              <w:rPr>
                <w:rFonts w:ascii="Times New Roman" w:cs="Times New Roman" w:eastAsia="Times New Roman" w:hAnsi="Times New Roman"/>
                <w:b/>
                <w:bCs/>
                <w:i w:val="false"/>
                <w:iCs w:val="false"/>
                <w:sz w:val="20"/>
                <w:szCs w:val="20"/>
              </w:rPr>
              <w:t xml:space="preserve">Τεχνολογία</w:t>
            </w:r>
          </w:p>
        </w:tc>
        <w:tc>
          <w:tcPr>
            <w:tcW w:type="pct" w:w="20%"/>
            <w:shd w:color="D9E2F3" w:val="solid"/>
          </w:tcPr>
          <w:p>
            <w:pPr>
              <w:spacing w:after="60" w:before="60"/>
              <w:jc w:val="center"/>
            </w:pPr>
            <w:r>
              <w:rPr>
                <w:rFonts w:ascii="Times New Roman" w:cs="Times New Roman" w:eastAsia="Times New Roman" w:hAnsi="Times New Roman"/>
                <w:b/>
                <w:bCs/>
                <w:i w:val="false"/>
                <w:iCs w:val="false"/>
                <w:sz w:val="20"/>
                <w:szCs w:val="20"/>
              </w:rPr>
              <w:t xml:space="preserve">Στρατός</w:t>
            </w:r>
          </w:p>
        </w:tc>
        <w:tc>
          <w:tcPr>
            <w:tcW w:type="pct" w:w="20%"/>
            <w:shd w:color="D9E2F3" w:val="solid"/>
          </w:tcPr>
          <w:p>
            <w:pPr>
              <w:spacing w:after="60" w:before="60"/>
              <w:jc w:val="center"/>
            </w:pPr>
            <w:r>
              <w:rPr>
                <w:rFonts w:ascii="Times New Roman" w:cs="Times New Roman" w:eastAsia="Times New Roman" w:hAnsi="Times New Roman"/>
                <w:b/>
                <w:bCs/>
                <w:i w:val="false"/>
                <w:iCs w:val="false"/>
                <w:sz w:val="20"/>
                <w:szCs w:val="20"/>
              </w:rPr>
              <w:t xml:space="preserve">Αστυνομία</w:t>
            </w:r>
          </w:p>
        </w:tc>
        <w:tc>
          <w:tcPr>
            <w:tcW w:type="pct" w:w="20%"/>
            <w:shd w:color="D9E2F3" w:val="solid"/>
          </w:tcPr>
          <w:p>
            <w:pPr>
              <w:spacing w:after="60" w:before="60"/>
              <w:jc w:val="center"/>
            </w:pPr>
            <w:r>
              <w:rPr>
                <w:rFonts w:ascii="Times New Roman" w:cs="Times New Roman" w:eastAsia="Times New Roman" w:hAnsi="Times New Roman"/>
                <w:b/>
                <w:bCs/>
                <w:i w:val="false"/>
                <w:iCs w:val="false"/>
                <w:sz w:val="20"/>
                <w:szCs w:val="20"/>
              </w:rPr>
              <w:t xml:space="preserve">ΠΣ</w:t>
            </w:r>
          </w:p>
        </w:tc>
        <w:tc>
          <w:tcPr>
            <w:tcW w:type="pct" w:w="20%"/>
            <w:shd w:color="D9E2F3" w:val="solid"/>
          </w:tcPr>
          <w:p>
            <w:pPr>
              <w:spacing w:after="60" w:before="60"/>
              <w:jc w:val="center"/>
            </w:pPr>
            <w:r>
              <w:rPr>
                <w:rFonts w:ascii="Times New Roman" w:cs="Times New Roman" w:eastAsia="Times New Roman" w:hAnsi="Times New Roman"/>
                <w:b/>
                <w:bCs/>
                <w:i w:val="false"/>
                <w:iCs w:val="false"/>
                <w:sz w:val="20"/>
                <w:szCs w:val="20"/>
              </w:rPr>
              <w:t xml:space="preserve">Ωρίμανση</w:t>
            </w:r>
          </w:p>
        </w:tc>
      </w:tr>
      <w:tr>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Προσομοιωτές</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MILES, προσομοιωτές αρμάτων</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FATS σκοποβολής</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Flashover containers</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Ώριμη</w:t>
            </w:r>
          </w:p>
        </w:tc>
      </w:tr>
      <w:tr>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VR/AR</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MOUT, εκπαίδευση πιλότων</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Use-of-force σενάρια</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Incident command</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Αναπτυσσόμενη</w:t>
            </w:r>
          </w:p>
        </w:tc>
      </w:tr>
      <w:tr>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Drones</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Αναγνώριση, τακτικά UAS</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Παρακολούθηση, εκδηλώσεις</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Θερμική εποπτεία πυρκαγιών</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Αναπτυσσόμενη</w:t>
            </w:r>
          </w:p>
        </w:tc>
      </w:tr>
      <w:tr>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GIS</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Τοπογραφία, σχεδιασμός</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Hot-spot mapping</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EFFIS, χαρτογράφηση κινδύνου</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Ώριμη</w:t>
            </w:r>
          </w:p>
        </w:tc>
      </w:tr>
      <w:tr>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E-learning</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NATO ADL</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CEPOL modules</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Θεωρητική ενημέρωση</w:t>
            </w:r>
          </w:p>
        </w:tc>
        <w:tc>
          <w:tcPr>
            <w:tcW w:type="pct" w:w="20%"/>
          </w:tcPr>
          <w:p>
            <w:pPr>
              <w:spacing w:after="40" w:before="40"/>
              <w:jc w:val="left"/>
            </w:pPr>
            <w:r>
              <w:rPr>
                <w:rFonts w:ascii="Times New Roman" w:cs="Times New Roman" w:eastAsia="Times New Roman" w:hAnsi="Times New Roman"/>
                <w:b w:val="false"/>
                <w:bCs w:val="false"/>
                <w:i w:val="false"/>
                <w:iCs w:val="false"/>
                <w:sz w:val="20"/>
                <w:szCs w:val="20"/>
              </w:rPr>
              <w:t xml:space="preserve">Ώριμη</w:t>
            </w:r>
          </w:p>
        </w:tc>
      </w:tr>
    </w:tbl>
    <w:p>
      <w:pPr>
        <w:spacing w:after="200"/>
      </w:pPr>
    </w:p>
    <w:p>
      <w:pPr>
        <w:pageBreakBefore/>
        <w:spacing w:after="240" w:before="480" w:line="360"/>
        <w:jc w:val="center"/>
      </w:pPr>
      <w:r>
        <w:rPr>
          <w:rFonts w:ascii="Times New Roman" w:cs="Times New Roman" w:eastAsia="Times New Roman" w:hAnsi="Times New Roman"/>
          <w:b/>
          <w:bCs/>
          <w:i w:val="false"/>
          <w:iCs w:val="false"/>
          <w:sz w:val="28"/>
          <w:szCs w:val="28"/>
        </w:rPr>
        <w:t xml:space="preserve">ΣΥΜΠΕΡΑΣΜΑΤΑ ΚΑΙ ΠΡΟΤΑΣΕΙΣ</w:t>
      </w:r>
    </w:p>
    <w:p>
      <w:pPr>
        <w:spacing w:after="200" w:before="360" w:line="360"/>
        <w:jc w:val="left"/>
      </w:pPr>
      <w:r>
        <w:rPr>
          <w:rFonts w:ascii="Times New Roman" w:cs="Times New Roman" w:eastAsia="Times New Roman" w:hAnsi="Times New Roman"/>
          <w:b/>
          <w:bCs/>
          <w:i w:val="false"/>
          <w:iCs w:val="false"/>
          <w:sz w:val="26"/>
          <w:szCs w:val="26"/>
        </w:rPr>
        <w:t xml:space="preserve">Σύνοψη ευρημάτων</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παρούσα εργασία εξέτασε τον ρόλο της εκπαίδευσης μέσω ασκήσεων στη βελτίωση της επιχειρησιακής ετοιμότητας σε τέσσερις κεντρικούς πυλώνες: Ένοπλες Δυνάμεις, Ελληνική Αστυνομία (συμπεριλαμβανομένης της Τροχαίας και των ειδικών μονάδων), Πυροσβεστικό Σώμα και φορείς πολιτικής προστασίας. Τα κεντρικά ευρήματα συνοψίζονται ως εξής.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Πρώτον, η επιχειρησιακή ετοιμότητα αποτελεί πολυδιάστατη έννοια — σωματική, τεχνική, ψυχολογική, οργανωσιακή — και η εκπαίδευση μέσω ασκήσεων είναι ο μοναδικός μηχανισμός που επιδρά ταυτόχρονα σε όλες τις διαστάσεις. Αυτό ισχύει οριζόντια: τόσο για μια διμοιρία πεζικού, όσο για μια ομάδα ΕΚΑΜ, ένα πλήρωμα Τροχαίας ή ένα πυροσβεστικό πλήρωμα.</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Δεύτερον, η αποτελεσματικότητα εξαρτάται από τον σχεδιασμό: σαφείς στόχοι, ρεαλιστικά σενάρια, σταδιακή αύξηση δυσκολίας, δομημένη ανατροφοδότηση (debriefing/AAR) και συστηματική επανάληψη. Οι θεωρίες Kolb (1984), Ericsson (2006) και Salas et al. (2008) συγκλίνουν σε αυτό.</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Τρίτον, τα case studies τεκμηρίωσαν ότι η εκπαίδευση σώζει ζωές: η αστοχία στο Μάτι (2018) λόγω ανεπαρκούς διυπηρεσιακής εκπαίδευσης, η επιτυχής δράση της ΕΜΑΚ σε σεισμούς χάρη σε MODEX, η αξία των ασκήσεων NATO για στρατιωτική ετοιμότητα, η σημασία των ασκήσεων ATLAS για αντιτρομοκρατική ικανότητα.</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Τέταρτον, η τεχνολογία (προσομοιωτές, VR, drones, GIS) ενισχύει αλλά δεν αντικαθιστά την πρακτική εκπαίδευση. Ο βέλτιστος συνδυασμός είναι η ενσωμάτωση τεχνολογίας εντός του εκπαιδευτικού πλαισίου.</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Πέμπτον, η διυπηρεσιακή ετοιμότητα — η ικανότητα πολλαπλών φορέων να συνεργαστούν — αποτελεί τη μεγαλύτερη πρόκληση και τη μεγαλύτερη ανάγκη. Οι κρίσεις είναι πολυφορεακές· η εκπαίδευση πρέπει να είναι αντίστοιχα.</w:t>
      </w:r>
    </w:p>
    <w:p>
      <w:pPr>
        <w:spacing w:after="200" w:before="360" w:line="360"/>
        <w:jc w:val="left"/>
      </w:pPr>
      <w:r>
        <w:rPr>
          <w:rFonts w:ascii="Times New Roman" w:cs="Times New Roman" w:eastAsia="Times New Roman" w:hAnsi="Times New Roman"/>
          <w:b/>
          <w:bCs/>
          <w:i w:val="false"/>
          <w:iCs w:val="false"/>
          <w:sz w:val="26"/>
          <w:szCs w:val="26"/>
        </w:rPr>
        <w:t xml:space="preserve">Προτάσεις βελτίωσης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Με βάση τα ευρήματα, διατυπώνονται οι ακόλουθες προτάσεις: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Ενίσχυση πολυφορεακών ασκήσεων: Θεσμοθέτηση τακτικών (τουλάχιστον εξαμηνιαίων) κοινών ασκήσεων μεταξύ ΠΣ, ΕΛ.ΑΣ., ΕΚΑΒ, Στρατού και Πολιτικής Προστασίας σε σενάρια που προσομοιώνουν πραγματικές κρίσεις: τρομοκρατική επίθεση, πολύνεκρο τροχαίο, μεγάλη πυρκαγιά, σεισμός.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Εφαρμογή αρχών deliberate practice: Κάθε άσκηση να ακολουθείται υποχρεωτικά από δομημένη ανατροφοδότηση (debriefing/AAR). Εισαγωγή σταδιακής αύξησης δυσκολίας στα σενάρια. Αξιοποίηση βιντεοσκόπησης και drone footage στη φάση αξιολόγησης.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Αξιοποίηση τεχνολογίας: Εισαγωγή VR modules σε κρίσιμα αντικείμενα (incident command, CQB, use-of-force). Τυποποίηση χρήσης drones σε κάθε μεγάλη άσκηση. Δημιουργία κοινής ψηφιακής πλατφόρμας εκπαίδευσης (e-learning) για σώματα ασφαλείας.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Ανάπτυξη μη τεχνικών δεξιοτήτων (NTS): Ενσωμάτωση εκπαίδευσης σε ηγεσία, επικοινωνία, λήψη αποφάσεων σε κάθε σώμα. Εφαρμογή μοντέλων CRM (Crew Resource Management) προσαρμοσμένων σε κάθε κλάδο.</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Ψυχολογική υποστήριξη: Ενσωμάτωση stress inoculation στις ασκήσεις. Δημιουργία μηχανισμών peer support σε κάθε σώμα. Τακτική αξιολόγηση ψυχολογικής κατάστασης προσωπικού, ιδιαίτερα μετά από κρίσεις.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Διεύρυνση διεθνούς συνεργασίας: Αύξηση συμμετοχής σε MODEX, ATLAS, NATO exercises. Ανάπτυξη διμερών εκπαιδευτικών προγραμμάτων με γειτονικές χώρες. Ανταλλαγή στελεχών σε βραχεία εκπαιδευτικά προγράμματα.</w:t>
      </w:r>
    </w:p>
    <w:p>
      <w:pPr>
        <w:spacing w:after="200" w:before="360" w:line="360"/>
        <w:jc w:val="left"/>
      </w:pPr>
      <w:r>
        <w:rPr>
          <w:rFonts w:ascii="Times New Roman" w:cs="Times New Roman" w:eastAsia="Times New Roman" w:hAnsi="Times New Roman"/>
          <w:b/>
          <w:bCs/>
          <w:i w:val="false"/>
          <w:iCs w:val="false"/>
          <w:sz w:val="26"/>
          <w:szCs w:val="26"/>
        </w:rPr>
        <w:t xml:space="preserve">Περιορισμοί της εργασίας</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Η εργασία στηρίζεται σε βιβλιογραφική ανασκόπηση και ανάλυση δευτερογενών πηγών. Δεν περιλαμβάνει πρωτογενή εμπειρική έρευνα (ερωτηματολόγια, συνεντεύξεις, παρατήρηση ασκήσεων). Η πρόσβαση σε εσωτερικά δεδομένα σωμάτων ασφαλείας (αριθμός ασκήσεων, αξιολογήσεις, δείκτες ετοιμότητας) ήταν περιορισμένη. Η ευρύτητα του θέματος (τέσσερα σώματα) σημαίνει ότι η ανάλυση κάθε σώματος δεν μπορεί να είναι εξαντλητική — η εργασία παρέχει μια οριζόντια εικόνα παρά μια κάθετη εμβάθυνση σε μεμονωμένο φορέα.</w:t>
      </w:r>
    </w:p>
    <w:p>
      <w:pPr>
        <w:spacing w:after="200" w:before="360" w:line="360"/>
        <w:jc w:val="left"/>
      </w:pPr>
      <w:r>
        <w:rPr>
          <w:rFonts w:ascii="Times New Roman" w:cs="Times New Roman" w:eastAsia="Times New Roman" w:hAnsi="Times New Roman"/>
          <w:b/>
          <w:bCs/>
          <w:i w:val="false"/>
          <w:iCs w:val="false"/>
          <w:sz w:val="26"/>
          <w:szCs w:val="26"/>
        </w:rPr>
        <w:t xml:space="preserve">Προτάσεις για μελλοντική έρευνα</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Μελλοντική έρευνα θα μπορούσε να περιλαμβάνει: (α) εμπειρική μελέτη με ερωτηματολόγιο σε προσωπικό σωμάτων ασφαλείας για τη σχέση ασκήσεων-ετοιμότητας, (β) συγκριτική μελέτη μεταξύ μονάδων με υψηλή και χαμηλή συχνότητα ασκήσεων, (γ) αξιολόγηση τεχνολογικών εργαλείων (VR, drones) μέσω πειραματικού σχεδιασμού, (δ) ανάλυση πραγματικών κρίσεων με root cause analysis για εντοπισμό εκπαιδευτικών κενών, και (ε) σχεδιασμός τυποποιημένου πλαισίου αξιολόγησης πολυφορεακών ασκήσεων.</w:t>
      </w:r>
    </w:p>
    <w:p>
      <w:pPr>
        <w:pageBreakBefore/>
        <w:spacing w:after="240" w:before="480" w:line="360"/>
        <w:jc w:val="center"/>
      </w:pPr>
      <w:r>
        <w:rPr>
          <w:rFonts w:ascii="Times New Roman" w:cs="Times New Roman" w:eastAsia="Times New Roman" w:hAnsi="Times New Roman"/>
          <w:b/>
          <w:bCs/>
          <w:i w:val="false"/>
          <w:iCs w:val="false"/>
          <w:sz w:val="28"/>
          <w:szCs w:val="28"/>
        </w:rPr>
        <w:t xml:space="preserve">ΒΙΒΛΙΟΓΡΑΦΙΑ</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Akhloufi, M. A., Couturier, A., &amp; Castro, N. A. (2021). Unmanned aerial vehicles for wildfire monitoring and management: State of the art and future trends. Drones, 5(1), Article 26.</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Burke, C. S., Stagl, K. C., Salas, E., Pierce, L., &amp; Kendall, D. (2006). Understanding team adaptation: A conceptual analysis and model. Journal of Applied Psychology, 91(6), 1189-1207.</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Chuvieco, E., &amp; Congalton, R. G. (1989). Application of remote sensing and geographic information systems to forest fire hazard mapping. Remote Sensing of Environment, 29(2), 147-159.</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Ericsson, K. A. (2006). The influence of experience and deliberate practice on the development of superior expert performance. In K. A. Ericsson et al. (Eds.), The Cambridge handbook of expertise and expert performance (pp. 683-703). Cambridge University Press.</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Ericsson, K. A., Krampe, R. T., &amp; Tesch-Römer, C. (1993). The role of deliberate practice in the acquisition of expert performance. Psychological Review, 100(3), 363-406.</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European Commission. (2021). Union Civil Protection Mechanism. DG ECHO.</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European Commission. (2020). Overview of natural and man-made disaster risks the European Union may face: 2020 edition. Publications Office of the EU.</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Flin, R., O'Connor, P., &amp; Crichton, M. (2008). Safety at the sharp end: A guide to non-technical skills. Ashgate Publishing.</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Grossman, D., &amp; Christensen, L. W. (2008). On combat: The psychology and physiology of deadly conflict in war and in peace (3rd ed.). Warrior Science Publications.</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INSARAG. (2020). INSARAG guidelines (Vols. I-III). UN OCHA.</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Jahnke, S. A., Poston, W. S. C., Haddock, C. K., &amp; Murphy, B. (2016). Firefighting and mental health: Experiences of repeated exposure to trauma. Work, 53(4), 737-744.</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Kleim, B., &amp; Westphal, M. (2011). Mental health in first responders: A review and recommendation for prevention and intervention strategies. European Journal of Psychotraumatology, 2(1), Article 7585.</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Kolb, D. A. (1984). Experiential learning: Experience as the source of learning and development. Prentice-Hall.</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Kolb, D. A., Boyatzis, R. E., &amp; Mainemelis, C. (2001). Experiential learning theory: Previous research and new directions. In R. J. Sternberg &amp; L. Zhang (Eds.), Perspectives on thinking, learning, and cognitive styles (pp. 227-247). Lawrence Erlbaum Associates.</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Lagouvardos, K., Kotroni, V., Giannaros, T. M., &amp; Dafis, S. (2019). Meteorological conditions conducive to the rapid spread of the deadly wildfire in eastern Attica, Greece. Bulletin of the American Meteorological Society, 100(11), 2137-2145.</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Meichenbaum, D. (2007). Stress inoculation training: A preventative and treatment approach. In P. M. Lehrer et al. (Eds.), Principles and practice of stress management (3rd ed., pp. 497-516). Guilford Press.</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Salas, E., Burke, C. S., &amp; Stagl, K. C. (2004). Developing teams and team leaders. In D. V. Day et al. (Eds.), Leader development for transforming organizations (pp. 325-355). Lawrence Erlbaum Associates.</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Salas, E., DiazGranados, D., Klein, C., Burke, C. S., et al. (2008). Does team training improve team performance? A meta-analysis. Human Factors, 50(6), 903-933.</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Salas, E., Tannenbaum, S. I., Kraiger, K., &amp; Smith-Jentsch, K. A. (2012). The science of training and development in organizations: What matters in practice. Psychological Science in the Public Interest, 13(2), 74-101.</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Smith, D. L., Haller, J. M., Korre, M., et al. (2019). The relation of emergency duties to cardiac death among US firefighters. American Journal of Cardiology, 123(5), 736-741.</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Soteriades, E. S., Smith, D. L., Tsismenakis, A. J., et al. (2011). Cardiovascular disease in US firefighters: A systematic review. Cardiology in Review, 19(4), 202-215.</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Williams-Bell, F. M., Kapralos, B., Hogue, A., Murphy, B. M., &amp; Weckman, E. J. (2015). Using serious games and virtual simulation for training in the fire service: A review. Fire Technology, 51(3), 553-584.</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Γενική Γραμματεία Πολιτικής Προστασίας. (2021). Γενικό Σχέδιο Αντιμετώπισης Εκτάκτων Αναγκών εξαιτίας Δασικών Πυρκαγιών (ΙΟΛΑΟΣ 2). ΥΚΚΠΠ.</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Πυροσβεστικό Σώμα Ελλάδας. (n.d.). Εκπαιδευτικές δραστηριότητες και επιχειρησιακή ετοιμότητα. https://www.fireservice.gr</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Υπουργείο Κλιματικής Κρίσης και Πολιτικής Προστασίας. (2022). Έκθεση αντιπυρικής περιόδου 2021. Αθήνα.</w:t>
      </w:r>
    </w:p>
    <w:p>
      <w:pPr>
        <w:spacing w:after="120" w:line="300"/>
        <w:ind w:left="720" w:hanging="720"/>
        <w:jc w:val="both"/>
      </w:pPr>
      <w:r>
        <w:rPr>
          <w:rFonts w:ascii="Times New Roman" w:cs="Times New Roman" w:eastAsia="Times New Roman" w:hAnsi="Times New Roman"/>
          <w:b w:val="false"/>
          <w:bCs w:val="false"/>
          <w:i w:val="false"/>
          <w:iCs w:val="false"/>
          <w:sz w:val="22"/>
          <w:szCs w:val="22"/>
        </w:rPr>
        <w:t xml:space="preserve">EFFIS. (n.d.). Statistics portal. European Commission, JRC. https://effis.jrc.ec.europa.eu/</w:t>
      </w:r>
    </w:p>
    <w:sectPr>
      <w:headerReference w:type="default" r:id="rId7"/>
      <w:footerReference w:type="default" r:id="rId8"/>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sz w:val="18"/>
        <w:szCs w:val="18"/>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2026-04-06T17:10:10.568Z</dcterms:created>
  <dcterms:modified xsi:type="dcterms:W3CDTF">2026-04-06T17:10:10.569Z</dcterms:modified>
</cp:coreProperties>
</file>

<file path=docProps/custom.xml><?xml version="1.0" encoding="utf-8"?>
<Properties xmlns="http://schemas.openxmlformats.org/officeDocument/2006/custom-properties" xmlns:vt="http://schemas.openxmlformats.org/officeDocument/2006/docPropsVTypes"/>
</file>