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</w:p>
    <w:p>
      <w:pPr>
        <w:spacing w:after="300"/>
        <w:jc w:val="center"/>
      </w:pPr>
      <w:r>
        <w:rPr>
          <w:rFonts w:ascii="Calibri" w:hAnsi="Calibri"/>
          <w:b/>
          <w:color w:val="6D8D2D"/>
          <w:sz w:val="20"/>
        </w:rPr>
        <w:t>MANUAL DO SISTEMA</w:t>
      </w:r>
    </w:p>
    <w:p>
      <w:pPr>
        <w:spacing w:after="160"/>
        <w:jc w:val="center"/>
      </w:pPr>
      <w:r>
        <w:rPr>
          <w:rFonts w:ascii="Calibri" w:hAnsi="Calibri"/>
          <w:b/>
          <w:color w:val="07111F"/>
          <w:sz w:val="64"/>
        </w:rPr>
        <w:t>Career IA</w:t>
      </w:r>
    </w:p>
    <w:p>
      <w:pPr>
        <w:spacing w:after="520"/>
        <w:jc w:val="center"/>
      </w:pPr>
      <w:r>
        <w:rPr>
          <w:rFonts w:ascii="Calibri" w:hAnsi="Calibri"/>
          <w:color w:val="1F4D78"/>
          <w:sz w:val="30"/>
        </w:rPr>
        <w:t>Simulação inteligente de entrevistas de emprego</w:t>
      </w:r>
    </w:p>
    <w:p>
      <w:pPr>
        <w:spacing w:after="1320"/>
        <w:ind w:left="864" w:right="864"/>
        <w:jc w:val="center"/>
      </w:pPr>
      <w:r>
        <w:rPr>
          <w:rFonts w:ascii="Calibri" w:hAnsi="Calibri"/>
          <w:color w:val="667085"/>
          <w:sz w:val="23"/>
        </w:rPr>
        <w:t>Documentação funcional, técnica e operacional para uso, manutenção e evolução da aplicação.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160"/>
        <w:gridCol w:w="7200"/>
      </w:tblGrid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60" w:type="dxa"/>
              <w:bottom w:w="100" w:type="dxa"/>
              <w:end w:w="160" w:type="dxa"/>
            </w:tcMar>
            <w:shd w:fill="07111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C9F178"/>
                <w:sz w:val="17"/>
              </w:rPr>
              <w:t>VERSÃO</w:t>
            </w:r>
          </w:p>
        </w:tc>
        <w:tc>
          <w:tcPr>
            <w:tcW w:type="dxa" w:w="7200"/>
            <w:vAlign w:val="center"/>
            <w:tcMar>
              <w:top w:w="100" w:type="dxa"/>
              <w:start w:w="160" w:type="dxa"/>
              <w:bottom w:w="100" w:type="dxa"/>
              <w:end w:w="16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824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60" w:type="dxa"/>
              <w:bottom w:w="100" w:type="dxa"/>
              <w:end w:w="160" w:type="dxa"/>
            </w:tcMar>
            <w:shd w:fill="07111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C9F178"/>
                <w:sz w:val="17"/>
              </w:rPr>
              <w:t>TECNOLOGIAS</w:t>
            </w:r>
          </w:p>
        </w:tc>
        <w:tc>
          <w:tcPr>
            <w:tcW w:type="dxa" w:w="7200"/>
            <w:vAlign w:val="center"/>
            <w:tcMar>
              <w:top w:w="100" w:type="dxa"/>
              <w:start w:w="160" w:type="dxa"/>
              <w:bottom w:w="100" w:type="dxa"/>
              <w:end w:w="16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82433"/>
                <w:sz w:val="19"/>
              </w:rPr>
              <w:t>HTML5, CSS3 e JavaScript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start w:w="160" w:type="dxa"/>
              <w:bottom w:w="100" w:type="dxa"/>
              <w:end w:w="160" w:type="dxa"/>
            </w:tcMar>
            <w:shd w:fill="07111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C9F178"/>
                <w:sz w:val="17"/>
              </w:rPr>
              <w:t>DATA</w:t>
            </w:r>
          </w:p>
        </w:tc>
        <w:tc>
          <w:tcPr>
            <w:tcW w:type="dxa" w:w="7200"/>
            <w:vAlign w:val="center"/>
            <w:tcMar>
              <w:top w:w="100" w:type="dxa"/>
              <w:start w:w="160" w:type="dxa"/>
              <w:bottom w:w="100" w:type="dxa"/>
              <w:end w:w="16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82433"/>
                <w:sz w:val="19"/>
              </w:rPr>
              <w:t>17 de junho de 2026</w:t>
            </w:r>
          </w:p>
        </w:tc>
      </w:tr>
    </w:tbl>
    <w:p>
      <w:r>
        <w:br w:type="page"/>
      </w:r>
    </w:p>
    <w:p>
      <w:pPr>
        <w:pStyle w:val="Heading1"/>
      </w:pPr>
      <w:r>
        <w:t>Como usar esta documentação</w:t>
      </w:r>
    </w:p>
    <w:p>
      <w:r>
        <w:rPr>
          <w:rFonts w:ascii="Calibri" w:hAnsi="Calibri"/>
          <w:color w:val="182433"/>
          <w:sz w:val="22"/>
        </w:rPr>
        <w:t>Este manual reúne a visão do produto e as informações necessárias para executar, demonstrar, testar, manter e evoluir o Career 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5E4"/>
          <w:left w:val="single" w:sz="0" w:color="EEF5E4"/>
          <w:bottom w:val="single" w:sz="0" w:color="EEF5E4"/>
          <w:right w:val="single" w:sz="0" w:color="EEF5E4"/>
          <w:insideH w:val="single" w:sz="0" w:color="EEF5E4"/>
          <w:insideV w:val="single" w:sz="0" w:color="EEF5E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EF5E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6D8D2D"/>
                <w:sz w:val="18"/>
              </w:rPr>
              <w:t>RESUMO EXECUTIVO</w:t>
            </w:r>
          </w:p>
          <w:p>
            <w:pPr>
              <w:spacing w:after="0"/>
            </w:pPr>
            <w:r>
              <w:rPr>
                <w:rFonts w:ascii="Calibri" w:hAnsi="Calibri"/>
                <w:color w:val="182433"/>
                <w:sz w:val="21"/>
              </w:rPr>
              <w:t>O Career IA é uma aplicação front-end responsiva que conduz o usuário por uma entrevista simulada de cinco perguntas e produz um feedback estruturado. A versão atual funciona sem servidor e mantém as respostas no navegador.</w:t>
            </w:r>
          </w:p>
        </w:tc>
      </w:tr>
    </w:tbl>
    <w:p>
      <w:pPr>
        <w:spacing w:after="0"/>
      </w:pPr>
    </w:p>
    <w:p>
      <w:pPr>
        <w:pStyle w:val="Heading2"/>
      </w:pPr>
      <w:r>
        <w:t>Navegação rápida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700"/>
        <w:gridCol w:w="7660"/>
      </w:tblGrid>
      <w:tr>
        <w:trPr>
          <w:tblHeader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Seções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Conteúdo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1–3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Produto, escopo, perfis e fluxo de uso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4–6</w:t>
            </w:r>
          </w:p>
        </w:tc>
        <w:tc>
          <w:tcPr>
            <w:tcW w:type="dxa" w:w="7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Arquitetura, arquivos, dados e regras de negócio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7–9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Interface, execução, testes e critérios de aceite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10–12</w:t>
            </w:r>
          </w:p>
        </w:tc>
        <w:tc>
          <w:tcPr>
            <w:tcW w:type="dxa" w:w="76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Ollama, segurança, manutenção e evolução</w:t>
            </w:r>
          </w:p>
        </w:tc>
      </w:tr>
    </w:tbl>
    <w:p>
      <w:pPr>
        <w:spacing w:after="0"/>
      </w:pPr>
    </w:p>
    <w:p>
      <w:pPr>
        <w:pStyle w:val="Heading1"/>
      </w:pPr>
      <w:r>
        <w:t>1. Visão geral do produto</w:t>
      </w:r>
    </w:p>
    <w:p>
      <w:r>
        <w:rPr>
          <w:rFonts w:ascii="Calibri" w:hAnsi="Calibri"/>
          <w:color w:val="182433"/>
          <w:sz w:val="22"/>
        </w:rPr>
        <w:t>Career IA é um simulador de entrevistas de emprego criado para ajudar candidatos a praticarem respostas relevantes antes de processos seletivos reais. O sistema personaliza as perguntas conforme a área profissional selecionada e entrega uma devolutiva objetiva ao final da experiência.</w:t>
      </w:r>
    </w:p>
    <w:p>
      <w:pPr>
        <w:pStyle w:val="Heading2"/>
      </w:pPr>
      <w:r>
        <w:t>1.1 Objetivo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Reduzir a insegurança do candidato por meio de prática guiada.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Estimular respostas mais completas, concretas e orientadas a resultados.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Oferecer feedback imediato, estruturado e acionável.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Criar uma base simples para futura geração de feedback com IA local.</w:t>
      </w:r>
    </w:p>
    <w:p>
      <w:pPr>
        <w:pStyle w:val="Heading2"/>
      </w:pPr>
      <w:r>
        <w:t>1.2 Proposta de valor</w:t>
      </w:r>
    </w:p>
    <w:p>
      <w:r>
        <w:rPr>
          <w:rFonts w:ascii="Calibri" w:hAnsi="Calibri"/>
          <w:color w:val="182433"/>
          <w:sz w:val="22"/>
        </w:rPr>
        <w:t>A experiência foi desenhada para ser rápida e sem barreiras: não exige cadastro, instalação de dependências ou envio de dados a serviços externos. O usuário escolhe sua área, responde cinco perguntas e recebe uma análise em poucos minutos.</w:t>
      </w:r>
    </w:p>
    <w:p>
      <w:pPr>
        <w:pStyle w:val="Heading1"/>
      </w:pPr>
      <w:r>
        <w:t>2. Escopo funcional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450"/>
        <w:gridCol w:w="3600"/>
        <w:gridCol w:w="4310"/>
      </w:tblGrid>
      <w:tr>
        <w:trPr>
          <w:tblHeader/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Etapa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Função principal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Boas-vindas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Apresentar o produto e iniciar a experiência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Usuário entende a proposta e avança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Seleção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Escolher uma das dez áreas profissionais</w:t>
            </w:r>
          </w:p>
        </w:tc>
        <w:tc>
          <w:tcPr>
            <w:tcW w:type="dxa" w:w="4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Perguntas adequadas à área são carregadas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Entrevista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Responder exatamente cinco perguntas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Progresso e contagem de caracteres são atualizados</w:t>
            </w:r>
          </w:p>
        </w:tc>
      </w:tr>
      <w:tr>
        <w:trPr>
          <w:cantSplit/>
        </w:trPr>
        <w:tc>
          <w:tcPr>
            <w:tcW w:type="dxa" w:w="14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Validação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Impedir envio de respostas vazias ou muito curtas</w:t>
            </w:r>
          </w:p>
        </w:tc>
        <w:tc>
          <w:tcPr>
            <w:tcW w:type="dxa" w:w="4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Conjunto mínimo de respostas válidas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Feedback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Apresentar forças, melhorias e recomendação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Usuário recebe próximos passos claros</w:t>
            </w:r>
          </w:p>
        </w:tc>
      </w:tr>
    </w:tbl>
    <w:p>
      <w:pPr>
        <w:spacing w:after="0"/>
      </w:pPr>
    </w:p>
    <w:p>
      <w:pPr>
        <w:pStyle w:val="Heading2"/>
      </w:pPr>
      <w:r>
        <w:t>2.1 Áreas disponíveis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Tecnologia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Administração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Recursos Humanos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Marketing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Vendas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Logística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Financeiro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Atendimento ao Cliente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Design e UX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Direito</w:t>
      </w:r>
    </w:p>
    <w:p>
      <w:pPr>
        <w:pStyle w:val="Heading2"/>
      </w:pPr>
      <w:r>
        <w:t>2.2 Itens fora do escopo atual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Autenticação, cadastro de candidatos e controle de acesso.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Persistência de respostas em banco de dados.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Integração ativa com provedores de IA ou com o Ollama.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Painel administrativo, histórico de entrevistas e métricas de uso.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Gravação de áudio, vídeo ou reconhecimento de voz.</w:t>
      </w:r>
    </w:p>
    <w:p>
      <w:pPr>
        <w:pStyle w:val="Heading1"/>
      </w:pPr>
      <w:r>
        <w:t>3. Jornada do usuário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Na tela inicial, o usuário seleciona Iniciar simulação.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Na seleção de área, escolhe um dos dez cards profissionais.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O sistema carrega cinco perguntas específicas da área escolhida.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O usuário preenche todas as respostas; o progresso avança de 0/5 até 5/5.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Ao selecionar Enviar respostas, o sistema valida o conteúdo.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As respostas são analisadas pelo serviço local de feedback.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A tela final apresenta pontos fortes, pontos de melhoria e sugestão final.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O usuário pode imprimir/salvar o feedback ou iniciar uma nova simulação.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5E4"/>
          <w:left w:val="single" w:sz="0" w:color="EEF5E4"/>
          <w:bottom w:val="single" w:sz="0" w:color="EEF5E4"/>
          <w:right w:val="single" w:sz="0" w:color="EEF5E4"/>
          <w:insideH w:val="single" w:sz="0" w:color="EEF5E4"/>
          <w:insideV w:val="single" w:sz="0" w:color="EEF5E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EF5E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6D8D2D"/>
                <w:sz w:val="18"/>
              </w:rPr>
              <w:t>PRIVACIDADE POR PADRÃO</w:t>
            </w:r>
          </w:p>
          <w:p>
            <w:pPr>
              <w:spacing w:after="0"/>
            </w:pPr>
            <w:r>
              <w:rPr>
                <w:rFonts w:ascii="Calibri" w:hAnsi="Calibri"/>
                <w:color w:val="182433"/>
                <w:sz w:val="21"/>
              </w:rPr>
              <w:t>Na implementação atual, as respostas existem apenas na memória da página e desaparecem quando ela é recarregada ou fechada. Nenhum conteúdo é transmitido para a internet.</w:t>
            </w:r>
          </w:p>
        </w:tc>
      </w:tr>
    </w:tbl>
    <w:p>
      <w:pPr>
        <w:spacing w:after="0"/>
      </w:pPr>
    </w:p>
    <w:p>
      <w:pPr>
        <w:pStyle w:val="Heading1"/>
      </w:pPr>
      <w:r>
        <w:t>4. Arquitetura da solução</w:t>
      </w:r>
    </w:p>
    <w:p>
      <w:r>
        <w:rPr>
          <w:rFonts w:ascii="Calibri" w:hAnsi="Calibri"/>
          <w:color w:val="182433"/>
          <w:sz w:val="22"/>
        </w:rPr>
        <w:t>A aplicação utiliza uma arquitetura front-end estática. Toda a interface, navegação, validação e geração do feedback local são executadas no navegador.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500"/>
        <w:gridCol w:w="1800"/>
        <w:gridCol w:w="6060"/>
      </w:tblGrid>
      <w:tr>
        <w:trPr>
          <w:tblHeader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Camada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Arquivo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Estrutura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index.html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Conteúdo semântico, telas, formulários, botões e regiões acessíveis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Apresentação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styles.css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Identidade visual, componentes, animações, impressão e responsividade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Comportamento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app.js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Dados das áreas, perguntas, estado, validação, feedback e eventos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Orientação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README.md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Execução rápida e ponto de integração com Ollama</w:t>
            </w:r>
          </w:p>
        </w:tc>
      </w:tr>
    </w:tbl>
    <w:p>
      <w:pPr>
        <w:spacing w:after="0"/>
      </w:pPr>
    </w:p>
    <w:p>
      <w:pPr>
        <w:pStyle w:val="Heading2"/>
      </w:pPr>
      <w:r>
        <w:t>4.1 Fluxo interno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renderAreas() cria dinamicamente os dez cards de seleção.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chooseArea() registra a área e prepara o conjunto de respostas.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renderQuestions() monta os cinco campos da entrevista.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handleAnswer() mantém o estado, a contagem e o progresso sincronizados.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validateAnswers() bloqueia respostas com menos de dez caracteres.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generateFeedback() analisa sinais textuais e retorna um objeto estruturado.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submitInterview() preenche a tela final com o resultado da análise.</w:t>
      </w:r>
    </w:p>
    <w:p>
      <w:pPr>
        <w:pStyle w:val="Heading2"/>
      </w:pPr>
      <w:r>
        <w:t>4.2 Estado da aplicação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82433"/>
                <w:sz w:val="16"/>
              </w:rPr>
              <w:t>const state = {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selectedArea: null,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answers: []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};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182433"/>
          <w:sz w:val="22"/>
        </w:rPr>
        <w:t>selectedArea contém o objeto da área atual. answers mantém cinco strings na mesma ordem das perguntas. O estado é volátil e não utiliza localStorage, cookies ou banco de dados.</w:t>
      </w:r>
    </w:p>
    <w:p>
      <w:pPr>
        <w:pStyle w:val="Heading1"/>
      </w:pPr>
      <w:r>
        <w:t>5. Estrutura dos dados</w:t>
      </w:r>
    </w:p>
    <w:p>
      <w:r>
        <w:rPr>
          <w:rFonts w:ascii="Calibri" w:hAnsi="Calibri"/>
          <w:color w:val="182433"/>
          <w:sz w:val="22"/>
        </w:rPr>
        <w:t>As áreas são definidas no array areas. Cada elemento mantém um identificador, nome, descrição, ícone SVG e exatamente cinco perguntas.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82433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id: 'technology',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name: 'Tecnologia',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description: 'Desenvolvimento, dados e infraestrutura',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icon: icons.technology,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questions: [/* exatamente cinco perguntas */]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5.1 Ordem obrigatória das perguntas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950"/>
        <w:gridCol w:w="2400"/>
        <w:gridCol w:w="6010"/>
      </w:tblGrid>
      <w:tr>
        <w:trPr>
          <w:tblHeader/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Posição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Categoria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Finalidade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Técnica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Avaliar conhecimento e método de trabalho</w:t>
            </w:r>
          </w:p>
        </w:tc>
      </w:tr>
      <w:tr>
        <w:trPr>
          <w:cantSplit/>
        </w:trPr>
        <w:tc>
          <w:tcPr>
            <w:tcW w:type="dxa" w:w="9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2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Experiência</w:t>
            </w:r>
          </w:p>
        </w:tc>
        <w:tc>
          <w:tcPr>
            <w:tcW w:type="dxa" w:w="6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Obter evidências da atuação anterior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3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Comportamental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Entender colaboração, postura e aprendizado</w:t>
            </w:r>
          </w:p>
        </w:tc>
      </w:tr>
      <w:tr>
        <w:trPr>
          <w:cantSplit/>
        </w:trPr>
        <w:tc>
          <w:tcPr>
            <w:tcW w:type="dxa" w:w="9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4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Resolução de problemas</w:t>
            </w:r>
          </w:p>
        </w:tc>
        <w:tc>
          <w:tcPr>
            <w:tcW w:type="dxa" w:w="60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Avaliar análise, prioridades e tomada de decisão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5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Objetivos profissionais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Verificar direção de carreira e alinhamento</w:t>
            </w:r>
          </w:p>
        </w:tc>
      </w:tr>
    </w:tbl>
    <w:p>
      <w:pPr>
        <w:spacing w:after="0"/>
      </w:pPr>
    </w:p>
    <w:p>
      <w:pPr>
        <w:pStyle w:val="Heading1"/>
      </w:pPr>
      <w:r>
        <w:t>6. Regras de negócio</w:t>
      </w:r>
    </w:p>
    <w:p>
      <w:pPr>
        <w:pStyle w:val="Heading2"/>
      </w:pPr>
      <w:r>
        <w:t>6.1 Entrevista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Uma simulação sempre contém cinco perguntas; nem mais, nem menos.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As perguntas são específicas da área escolhida e respeitam a ordem de categorias.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Todos os campos são obrigatórios para o envio.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Cada resposta aceita até 1.200 caracteres.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Respostas com menos de dez caracteres são consideradas insuficientes.</w:t>
      </w:r>
    </w:p>
    <w:p>
      <w:pPr>
        <w:pStyle w:val="Heading2"/>
      </w:pPr>
      <w:r>
        <w:t>6.2 Feedback local</w:t>
      </w:r>
    </w:p>
    <w:p>
      <w:r>
        <w:rPr>
          <w:rFonts w:ascii="Calibri" w:hAnsi="Calibri"/>
          <w:color w:val="182433"/>
          <w:sz w:val="22"/>
        </w:rPr>
        <w:t>A versão atual não executa um modelo generativo. Ela aplica regras transparentes sobre o conjunto das respostas e procura quatro sinais principais: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Detalhamento: quantidade de respostas com 180 caracteres ou mais.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Evidências: uso de números, percentuais, resultados, indicadores, metas ou prazos.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Estrutura: presença de termos associados à organização da narrativa e ao método STAR.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Aprendizado: menções a evolução, feedback e desenvolvimento.</w:t>
      </w:r>
    </w:p>
    <w:p>
      <w:pPr>
        <w:pStyle w:val="Heading2"/>
      </w:pPr>
      <w:r>
        <w:t>6.3 Contrato do feedback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82433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intro: 'Resumo da análise',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strengths: ['Ponto forte 1', 'Ponto forte 2'],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improvements: ['Melhoria 1', 'Melhoria 2'],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suggestion: 'Recomendação final'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8EEF5"/>
          <w:left w:val="single" w:sz="0" w:color="E8EEF5"/>
          <w:bottom w:val="single" w:sz="0" w:color="E8EEF5"/>
          <w:right w:val="single" w:sz="0" w:color="E8EEF5"/>
          <w:insideH w:val="single" w:sz="0" w:color="E8EEF5"/>
          <w:insideV w:val="single" w:sz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8"/>
              </w:rPr>
              <w:t>REGRA DE COMPATIBILIDADE</w:t>
            </w:r>
          </w:p>
          <w:p>
            <w:pPr>
              <w:spacing w:after="0"/>
            </w:pPr>
            <w:r>
              <w:rPr>
                <w:rFonts w:ascii="Calibri" w:hAnsi="Calibri"/>
                <w:color w:val="182433"/>
                <w:sz w:val="21"/>
              </w:rPr>
              <w:t>Qualquer integração futura deve retornar esse mesmo formato. Assim, a interface final continua funcionando sem alterações estruturais.</w:t>
            </w:r>
          </w:p>
        </w:tc>
      </w:tr>
    </w:tbl>
    <w:p>
      <w:pPr>
        <w:spacing w:after="0"/>
      </w:pPr>
    </w:p>
    <w:p>
      <w:pPr>
        <w:pStyle w:val="Heading1"/>
      </w:pPr>
      <w:r>
        <w:t>7. Interface e experiência</w:t>
      </w:r>
    </w:p>
    <w:p>
      <w:r>
        <w:rPr>
          <w:rFonts w:ascii="Calibri" w:hAnsi="Calibri"/>
          <w:color w:val="182433"/>
          <w:sz w:val="22"/>
        </w:rPr>
        <w:t>O layout utiliza uma estética profissional de alto contraste, com fundo azul-marinho, cartões escuros, azul para informação e verde-lima para ações e estados positivos. Os componentes foram construídos apenas com HTML, CSS e SVG embutido.</w:t>
      </w:r>
    </w:p>
    <w:p>
      <w:pPr>
        <w:pStyle w:val="Heading2"/>
      </w:pPr>
      <w:r>
        <w:t>7.1 Responsividade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1800"/>
        <w:gridCol w:w="756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Faixa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Comportamento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Acima de 1000 px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Hero em duas colunas e grade de áreas com cinco colunas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Até 1000 px</w:t>
            </w:r>
          </w:p>
        </w:tc>
        <w:tc>
          <w:tcPr>
            <w:tcW w:type="dxa" w:w="7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Hero empilhado e grade de áreas com três colunas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Até 680 px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Grade com duas colunas, formulários e ações em coluna única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Impressão</w:t>
            </w:r>
          </w:p>
        </w:tc>
        <w:tc>
          <w:tcPr>
            <w:tcW w:type="dxa" w:w="75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Exibe apenas o feedback em fundo claro, sem navegação e sem rodapé</w:t>
            </w:r>
          </w:p>
        </w:tc>
      </w:tr>
    </w:tbl>
    <w:p>
      <w:pPr>
        <w:spacing w:after="0"/>
      </w:pPr>
    </w:p>
    <w:p>
      <w:pPr>
        <w:pStyle w:val="Heading2"/>
      </w:pPr>
      <w:r>
        <w:t>7.2 Acessibilidade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Estrutura semântica com header, main, section, article e footer.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Títulos associados às respectivas regiões por aria-labelledby.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Rótulos ocultos visualmente e disponíveis para leitores de tela.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Mensagens de validação, foco visível e região de status para avisos.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Ícones decorativos marcados para não interferirem na leitura assistiva.</w:t>
      </w:r>
    </w:p>
    <w:p>
      <w:pPr>
        <w:pStyle w:val="Heading1"/>
      </w:pPr>
      <w:r>
        <w:t>8. Instalação e execução</w:t>
      </w:r>
    </w:p>
    <w:p>
      <w:r>
        <w:rPr>
          <w:rFonts w:ascii="Calibri" w:hAnsi="Calibri"/>
          <w:color w:val="182433"/>
          <w:sz w:val="22"/>
        </w:rPr>
        <w:t>O Career IA não possui dependências, processo de compilação ou servidor obrigatório.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Copie a pasta career-ia para o computador ou servidor desejado.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Abra index.html em um navegador moderno.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Para publicação, envie os quatro arquivos para qualquer hospedagem estática.</w:t>
      </w:r>
    </w:p>
    <w:p>
      <w:pPr>
        <w:pStyle w:val="Heading2"/>
      </w:pPr>
      <w:r>
        <w:t>8.1 Estrutura esperada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82433"/>
                <w:sz w:val="16"/>
              </w:rPr>
              <w:t>career-ia/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├── index.html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├── styles.css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├── app.js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└── README.md</w:t>
            </w:r>
          </w:p>
        </w:tc>
      </w:tr>
    </w:tbl>
    <w:p>
      <w:pPr>
        <w:spacing w:after="0"/>
      </w:pPr>
    </w:p>
    <w:p>
      <w:pPr>
        <w:pStyle w:val="Heading2"/>
      </w:pPr>
      <w:r>
        <w:t>8.2 Navegadores recomendados</w:t>
      </w:r>
    </w:p>
    <w:p>
      <w:r>
        <w:rPr>
          <w:rFonts w:ascii="Calibri" w:hAnsi="Calibri"/>
          <w:color w:val="182433"/>
          <w:sz w:val="22"/>
        </w:rPr>
        <w:t>Utilize versões atuais do Google Chrome, Microsoft Edge, Mozilla Firefox ou Safari. O sistema depende de recursos modernos de CSS e JavaScript suportados por esses navegadores.</w:t>
      </w:r>
    </w:p>
    <w:p>
      <w:pPr>
        <w:pStyle w:val="Heading1"/>
      </w:pPr>
      <w:r>
        <w:t>9. Testes e critérios de aceite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850"/>
        <w:gridCol w:w="3200"/>
        <w:gridCol w:w="5310"/>
      </w:tblGrid>
      <w:tr>
        <w:trPr>
          <w:tblHeader/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ID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Cenário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CT-01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Abrir a aplicação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Tela inicial aparece sem erros no console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CT-02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Selecionar Iniciar simulação</w:t>
            </w:r>
          </w:p>
        </w:tc>
        <w:tc>
          <w:tcPr>
            <w:tcW w:type="dxa" w:w="5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Dez áreas ficam disponíveis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CT-03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Escolher qualquer área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Cinco perguntas corretas são exibidas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CT-04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Enviar campos vazios</w:t>
            </w:r>
          </w:p>
        </w:tc>
        <w:tc>
          <w:tcPr>
            <w:tcW w:type="dxa" w:w="5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Envio é bloqueado e o primeiro erro recebe destaque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CT-05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Preencher os cinco campos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Contador indica 5/5 e barra chega a 100%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CT-06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Enviar respostas válidas</w:t>
            </w:r>
          </w:p>
        </w:tc>
        <w:tc>
          <w:tcPr>
            <w:tcW w:type="dxa" w:w="5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Feedback contém as três seções obrigatórias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CT-07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Selecionar Nova simulação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Aplicação retorna à escolha de área</w:t>
            </w:r>
          </w:p>
        </w:tc>
      </w:tr>
      <w:tr>
        <w:trPr>
          <w:cantSplit/>
        </w:trP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CT-08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Salvar feedback</w:t>
            </w:r>
          </w:p>
        </w:tc>
        <w:tc>
          <w:tcPr>
            <w:tcW w:type="dxa" w:w="531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Diálogo de impressão é aberto com layout limpo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CT-09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Usar viewport móvel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Não há rolagem horizontal ou conteúdo sobreposto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5E4"/>
          <w:left w:val="single" w:sz="0" w:color="EEF5E4"/>
          <w:bottom w:val="single" w:sz="0" w:color="EEF5E4"/>
          <w:right w:val="single" w:sz="0" w:color="EEF5E4"/>
          <w:insideH w:val="single" w:sz="0" w:color="EEF5E4"/>
          <w:insideV w:val="single" w:sz="0" w:color="EEF5E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EF5E4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6D8D2D"/>
                <w:sz w:val="18"/>
              </w:rPr>
              <w:t>VALIDAÇÃO REALIZADA</w:t>
            </w:r>
          </w:p>
          <w:p>
            <w:pPr>
              <w:spacing w:after="0"/>
            </w:pPr>
            <w:r>
              <w:rPr>
                <w:rFonts w:ascii="Calibri" w:hAnsi="Calibri"/>
                <w:color w:val="182433"/>
                <w:sz w:val="21"/>
              </w:rPr>
              <w:t>Na entrega da versão 1.0, o fluxo completo foi testado em navegador: início, escolha de Tecnologia, preenchimento das cinco respostas, progresso, geração do feedback e layout móvel.</w:t>
            </w:r>
          </w:p>
        </w:tc>
      </w:tr>
    </w:tbl>
    <w:p>
      <w:pPr>
        <w:spacing w:after="0"/>
      </w:pPr>
    </w:p>
    <w:p>
      <w:pPr>
        <w:pStyle w:val="Heading1"/>
      </w:pPr>
      <w:r>
        <w:t>10. Integração futura com Ollama</w:t>
      </w:r>
    </w:p>
    <w:p>
      <w:r>
        <w:rPr>
          <w:rFonts w:ascii="Calibri" w:hAnsi="Calibri"/>
          <w:color w:val="182433"/>
          <w:sz w:val="22"/>
        </w:rPr>
        <w:t>O ponto de troca está isolado na função assíncrona generateFeedback(area, answers), em app.js. A implementação local pode ser substituída por uma requisição ao endpoint do Ollama.</w:t>
      </w:r>
    </w:p>
    <w:p>
      <w:pPr>
        <w:pStyle w:val="Heading2"/>
      </w:pPr>
      <w:r>
        <w:t>10.1 Pré-requisitos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Ollama instalado e em execução na máquina local.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Um modelo disponível, por exemplo llama3.2 ou equivalente.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Permissão de origem configurada quando a página for aberta fora de localhost.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Tratamento de indisponibilidade, timeout e resposta inválida.</w:t>
      </w:r>
    </w:p>
    <w:p>
      <w:pPr>
        <w:pStyle w:val="Heading2"/>
      </w:pPr>
      <w:r>
        <w:t>10.2 Exemplo de implementação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82433"/>
                <w:sz w:val="16"/>
              </w:rPr>
              <w:t>async function generateFeedback(area, answers) {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const prompt = `Você é um entrevistador profissional.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Área: ${area.name}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Respostas: ${JSON.stringify(answers)}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Retorne somente JSON com intro, strengths,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improvements e suggestion.`;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const response = await fetch(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  'http://localhost:11434/api/generate', {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    method: 'POST',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    headers: { 'Content-Type': 'application/json' },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    body: JSON.stringify({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      model: 'llama3.2', prompt, stream: false,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      format: 'json'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    })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if (!response.ok) throw new Error('Ollama indisponível');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const data = await response.json();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 xml:space="preserve">  return JSON.parse(data.response);</w:t>
            </w:r>
            <w:r>
              <w:br/>
            </w:r>
            <w:r>
              <w:rPr>
                <w:rFonts w:ascii="Consolas" w:hAnsi="Consolas"/>
                <w:color w:val="182433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10.3 Prompt recomendado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Definir o papel: entrevistador profissional, objetivo e respeitoso.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Enviar a área, as cinco perguntas e as respectivas respostas.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Exigir linguagem em português do Brasil e retorno JSON sem Markdown.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Limitar cada lista a três itens curtos e específicos.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Proibir inferências sobre características pessoais sensíveis.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7E1"/>
          <w:left w:val="single" w:sz="0" w:color="FFF7E1"/>
          <w:bottom w:val="single" w:sz="0" w:color="FFF7E1"/>
          <w:right w:val="single" w:sz="0" w:color="FFF7E1"/>
          <w:insideH w:val="single" w:sz="0" w:color="FFF7E1"/>
          <w:insideV w:val="single" w:sz="0" w:color="FFF7E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FF7E1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8A6300"/>
                <w:sz w:val="18"/>
              </w:rPr>
              <w:t>RECOMENDAÇÃO DE ENGENHARIA</w:t>
            </w:r>
          </w:p>
          <w:p>
            <w:pPr>
              <w:spacing w:after="0"/>
            </w:pPr>
            <w:r>
              <w:rPr>
                <w:rFonts w:ascii="Calibri" w:hAnsi="Calibri"/>
                <w:color w:val="182433"/>
                <w:sz w:val="21"/>
              </w:rPr>
              <w:t>Mantenha o feedback local como fallback. Se o Ollama estiver indisponível ou retornar um JSON inválido, o usuário ainda poderá concluir a simulação.</w:t>
            </w:r>
          </w:p>
        </w:tc>
      </w:tr>
    </w:tbl>
    <w:p>
      <w:pPr>
        <w:spacing w:after="0"/>
      </w:pPr>
    </w:p>
    <w:p>
      <w:pPr>
        <w:pStyle w:val="Heading1"/>
      </w:pPr>
      <w:r>
        <w:t>11. Segurança e privacidade</w:t>
      </w:r>
    </w:p>
    <w:p>
      <w:r>
        <w:rPr>
          <w:rFonts w:ascii="Calibri" w:hAnsi="Calibri"/>
          <w:color w:val="182433"/>
          <w:sz w:val="22"/>
        </w:rPr>
        <w:t>A versão estática oferece baixo risco operacional porque não possui autenticação, servidor próprio ou armazenamento remoto. Ainda assim, a integração com IA local exige cuidados adicionais.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Não registrar respostas pessoais no console ou em arquivos sem consentimento.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Evitar incluir dados sensíveis, discriminatórios ou irrelevantes no prompt.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Validar e escapar qualquer conteúdo que venha a ser inserido como HTML.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Restringir o endpoint do Ollama à máquina ou rede autorizada.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Informar claramente ao usuário se as respostas passarem a ser armazenadas.</w:t>
      </w:r>
    </w:p>
    <w:p>
      <w:pPr>
        <w:pStyle w:val="Heading1"/>
      </w:pPr>
      <w:r>
        <w:t>12. Manutenção e evolução</w:t>
      </w:r>
    </w:p>
    <w:p>
      <w:pPr>
        <w:pStyle w:val="Heading2"/>
      </w:pPr>
      <w:r>
        <w:t>12.1 Adicionar ou alterar perguntas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Abra app.js e localize o item da área no array areas.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Edite o array questions sem alterar a quantidade de cinco itens.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Preserve a ordem técnica, experiência, comportamental, problemas e objetivos.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Teste o fluxo completo e confirme o título de cada categoria.</w:t>
      </w:r>
    </w:p>
    <w:p>
      <w:pPr>
        <w:pStyle w:val="Heading2"/>
      </w:pPr>
      <w:r>
        <w:t>12.2 Adicionar uma nova área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Crie um ícone no objeto icons.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Adicione um objeto em areas com id exclusivo, nome, descrição, ícone e cinco perguntas.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Revise o comportamento da grade em desktop, tablet e celular.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182433"/>
          <w:sz w:val="22"/>
        </w:rPr>
        <w:t>Atualize esta documentação e os testes de aceite.</w:t>
      </w:r>
    </w:p>
    <w:p>
      <w:pPr>
        <w:pStyle w:val="Heading2"/>
      </w:pPr>
      <w:r>
        <w:t>12.3 Evoluções sugeridas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D7DEE8"/>
          <w:left w:val="single" w:sz="5" w:color="D7DEE8"/>
          <w:bottom w:val="single" w:sz="5" w:color="D7DEE8"/>
          <w:right w:val="single" w:sz="5" w:color="D7DEE8"/>
          <w:insideH w:val="single" w:sz="5" w:color="D7DEE8"/>
          <w:insideV w:val="single" w:sz="5" w:color="D7DEE8"/>
        </w:tblBorders>
      </w:tblPr>
      <w:tblGrid>
        <w:gridCol w:w="2000"/>
        <w:gridCol w:w="7360"/>
      </w:tblGrid>
      <w:tr>
        <w:trPr>
          <w:tblHeader/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Horizonte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Evolução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Curto prazo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Integração opcional com Ollama e fallback local</w:t>
            </w:r>
          </w:p>
        </w:tc>
      </w:tr>
      <w:tr>
        <w:trPr>
          <w:cantSplit/>
        </w:trPr>
        <w:tc>
          <w:tcPr>
            <w:tcW w:type="dxa" w:w="2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Curto prazo</w:t>
            </w:r>
          </w:p>
        </w:tc>
        <w:tc>
          <w:tcPr>
            <w:tcW w:type="dxa" w:w="7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Exportação do feedback em PDF com identidade visual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Médio prazo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Histórico local de simulações com consentimento</w:t>
            </w:r>
          </w:p>
        </w:tc>
      </w:tr>
      <w:tr>
        <w:trPr>
          <w:cantSplit/>
        </w:trPr>
        <w:tc>
          <w:tcPr>
            <w:tcW w:type="dxa" w:w="2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Médio prazo</w:t>
            </w:r>
          </w:p>
        </w:tc>
        <w:tc>
          <w:tcPr>
            <w:tcW w:type="dxa" w:w="73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Cronômetro, dicas por pergunta e níveis de dificuldade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Longo prazo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82433"/>
                <w:sz w:val="18"/>
              </w:rPr>
              <w:t>Entrevista por voz, painel de evolução e perfis de vaga</w:t>
            </w:r>
          </w:p>
        </w:tc>
      </w:tr>
    </w:tbl>
    <w:p>
      <w:pPr>
        <w:spacing w:after="0"/>
      </w:pPr>
    </w:p>
    <w:p>
      <w:pPr>
        <w:pStyle w:val="Heading1"/>
      </w:pPr>
      <w:r>
        <w:t>Checklist de publicação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Confirmar que index.html, styles.css e app.js estão no mesmo diretório.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Executar todos os casos de teste da seção 9.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Testar no mínimo em um navegador desktop e um viewport móvel.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Revisar as perguntas e o tom do feedback antes de cada versão.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Verificar se nenhuma chave, dado pessoal ou endereço interno foi incluído.</w:t>
      </w:r>
    </w:p>
    <w:p>
      <w:pPr>
        <w:numPr>
          <w:ilvl w:val="0"/>
          <w:numId w:val="90"/>
        </w:numPr>
      </w:pPr>
      <w:r>
        <w:rPr>
          <w:rFonts w:ascii="Calibri" w:hAnsi="Calibri"/>
          <w:color w:val="182433"/>
          <w:sz w:val="22"/>
        </w:rPr>
        <w:t>Atualizar a versão e a data deste documento.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8EEF5"/>
          <w:left w:val="single" w:sz="0" w:color="E8EEF5"/>
          <w:bottom w:val="single" w:sz="0" w:color="E8EEF5"/>
          <w:right w:val="single" w:sz="0" w:color="E8EEF5"/>
          <w:insideH w:val="single" w:sz="0" w:color="E8EEF5"/>
          <w:insideV w:val="single" w:sz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8"/>
              </w:rPr>
              <w:t>RESPONSÁVEL PELA MANUTENÇÃO</w:t>
            </w:r>
          </w:p>
          <w:p>
            <w:pPr>
              <w:spacing w:after="0"/>
            </w:pPr>
            <w:r>
              <w:rPr>
                <w:rFonts w:ascii="Calibri" w:hAnsi="Calibri"/>
                <w:color w:val="182433"/>
                <w:sz w:val="21"/>
              </w:rPr>
              <w:t>A aplicação foi estruturada para permitir evolução gradual. Mudanças nas perguntas e regras ficam concentradas em app.js; alterações visuais ficam em styles.css; a marcação das telas permanece em index.html.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CAREER IA  |  DOCUMENTAÇÃO TÉCNICA E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sistema Career IA</dc:title>
  <dc:subject>Manual técnico e funcional</dc:subject>
  <dc:creator>Career IA</dc:creator>
  <cp:keywords>Career IA, entrevistas, documentação, HTML, CSS, JavaScript, Ollama</cp:keywords>
  <dc:description>Versão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