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Emma Wormwood diaries, kept by Wormwood between 1895-1898, document her life as a teacher in Illinois. She discusses her family, friends, and neighbors, daily activities, weather, and other aspects of her life. This project specifically focuses on the January and February 1896 entries. The purpose of this project is to digitize the diaries and allow for the accessibility and scholarship of these insightful documents.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Modeling Approach and Rationale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encoded using XML and validated using Relax NG and Schematron, where it was then displayed in a browser using HTML using XLST. This was designed to allow for easy browsing and accessibility. We focused on elements that seemed important to the everyday life of Emma Wormwood as well as information that may be beneficial to highlight for biographical purposes.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Encoding guide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Metadata &lt;metadata&gt;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&lt;title&gt; within &lt;sourceInfo&gt; and documents the title of the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&lt;author&gt; within &lt;sourceInfo&gt; and must contain &lt;name&gt; attribute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&lt;publisher&gt; within &lt;sourceInfo&gt;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&lt;revisions&gt; within &lt;metadata&gt;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&lt;description&gt;</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Entries &lt;entries&gt;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&lt;entry&gt; &lt;entry xml:id="xx1"&gt; xml:id used to link within the page.  &lt;entry&gt; within &lt;entries&gt;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&lt;p&gt; within &lt;entry&gt; to denote a paragraph</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&lt;pb&gt; within &lt;entries&gt; to denote page break</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Specialized tags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&lt;date when=”x”&gt;  within &lt;entry&gt; to identify the date of the entry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&lt;name&gt; within &lt;p&gt; element.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&lt;place&gt; within &lt;p&gt; must have a &lt;place placeType=“x”&gt; to denote the type of place. (@placeType=‘country’) or (@placeType=‘state’) or (@placeType=‘city’) or (@placeType=‘building’) or (@placeType=‘landscape’)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&lt;weather&gt;: within &lt;p&gt; &lt;weather weather=“x”&gt; to identify the weather that was highlighted in the text.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&lt;alternates&gt; within &lt;p&gt; to denote an alternate spelling of a word.</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&lt;quote&gt; within &lt;p&gt; to surround a quote. Citing a quote is allowed, but not required.</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&lt;cite&gt; within the &lt;quote&gt; element to reference the source of the quote.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&lt;parentheses&gt; within &lt;p&gt; or &lt;pb&gt; element to denote words within parentheses.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&lt;margin&gt; to denote something written in the margins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&lt;favQuote&gt; denotes a quote that was identified as a favorite of the contributors &lt;favQuote contributor="intials"&gt; contributor identifies the person who chose the quote.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Authors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Courtney Griffin</w:t>
      </w:r>
    </w:p>
    <w:p w:rsidR="00000000" w:rsidDel="00000000" w:rsidP="00000000" w:rsidRDefault="00000000" w:rsidRPr="00000000" w14:paraId="00000026">
      <w:pPr>
        <w:rPr/>
      </w:pPr>
      <w:r w:rsidDel="00000000" w:rsidR="00000000" w:rsidRPr="00000000">
        <w:rPr>
          <w:rtl w:val="0"/>
        </w:rPr>
        <w:t xml:space="preserve">Carrington Powell</w:t>
      </w:r>
    </w:p>
    <w:p w:rsidR="00000000" w:rsidDel="00000000" w:rsidP="00000000" w:rsidRDefault="00000000" w:rsidRPr="00000000" w14:paraId="00000027">
      <w:pPr>
        <w:rPr/>
      </w:pPr>
      <w:r w:rsidDel="00000000" w:rsidR="00000000" w:rsidRPr="00000000">
        <w:rPr>
          <w:rtl w:val="0"/>
        </w:rPr>
        <w:t xml:space="preserve">Carly Stewart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