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2D74" w14:textId="77777777" w:rsidR="007573FF"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2F82A4DE" w14:textId="77777777" w:rsidR="007573FF" w:rsidRDefault="007573FF">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573FF" w14:paraId="1231A77E" w14:textId="77777777">
        <w:tc>
          <w:tcPr>
            <w:tcW w:w="4680" w:type="dxa"/>
            <w:tcMar>
              <w:top w:w="100" w:type="dxa"/>
              <w:left w:w="100" w:type="dxa"/>
              <w:bottom w:w="100" w:type="dxa"/>
              <w:right w:w="100" w:type="dxa"/>
            </w:tcMar>
          </w:tcPr>
          <w:p w14:paraId="41FB9770"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6BED85C4" w14:textId="33A5B16B" w:rsidR="007573FF" w:rsidRDefault="005F448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20/10/2026</w:t>
            </w:r>
          </w:p>
        </w:tc>
      </w:tr>
      <w:tr w:rsidR="007573FF" w14:paraId="4035A581" w14:textId="77777777">
        <w:tc>
          <w:tcPr>
            <w:tcW w:w="4680" w:type="dxa"/>
            <w:tcMar>
              <w:top w:w="100" w:type="dxa"/>
              <w:left w:w="100" w:type="dxa"/>
              <w:bottom w:w="100" w:type="dxa"/>
              <w:right w:w="100" w:type="dxa"/>
            </w:tcMar>
          </w:tcPr>
          <w:p w14:paraId="15F346D9"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30F19D8B" w14:textId="2FBB9D58" w:rsidR="007573FF" w:rsidRDefault="005F448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Aditi Kapadia</w:t>
            </w:r>
          </w:p>
        </w:tc>
      </w:tr>
      <w:tr w:rsidR="007573FF" w14:paraId="21647006" w14:textId="77777777">
        <w:tc>
          <w:tcPr>
            <w:tcW w:w="4680" w:type="dxa"/>
            <w:tcMar>
              <w:top w:w="100" w:type="dxa"/>
              <w:left w:w="100" w:type="dxa"/>
              <w:bottom w:w="100" w:type="dxa"/>
              <w:right w:w="100" w:type="dxa"/>
            </w:tcMar>
          </w:tcPr>
          <w:p w14:paraId="651B0EB1"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5A0F8B6B" w14:textId="79213B73"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b/>
                <w:bCs/>
                <w:sz w:val="24"/>
                <w:szCs w:val="24"/>
              </w:rPr>
              <w:t>Electric Vehicle Market Performance &amp; Insights</w:t>
            </w:r>
          </w:p>
        </w:tc>
      </w:tr>
      <w:tr w:rsidR="007573FF" w14:paraId="706B2AE1" w14:textId="77777777">
        <w:tc>
          <w:tcPr>
            <w:tcW w:w="4680" w:type="dxa"/>
            <w:tcMar>
              <w:top w:w="100" w:type="dxa"/>
              <w:left w:w="100" w:type="dxa"/>
              <w:bottom w:w="100" w:type="dxa"/>
              <w:right w:w="100" w:type="dxa"/>
            </w:tcMar>
          </w:tcPr>
          <w:p w14:paraId="252A5C17"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51BA3E3"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5A58FDC3" w14:textId="77777777" w:rsidR="007573FF" w:rsidRDefault="007573FF">
      <w:pPr>
        <w:widowControl/>
        <w:spacing w:after="160" w:line="120" w:lineRule="auto"/>
        <w:rPr>
          <w:rFonts w:ascii="Times New Roman" w:eastAsia="Times New Roman" w:hAnsi="Times New Roman" w:cs="Times New Roman"/>
        </w:rPr>
      </w:pPr>
    </w:p>
    <w:p w14:paraId="230BFDC7" w14:textId="77777777" w:rsidR="007573FF"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1E139044" w14:textId="77777777" w:rsidR="007573FF"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7573FF" w14:paraId="56CBDBAD" w14:textId="77777777">
        <w:trPr>
          <w:trHeight w:val="478"/>
        </w:trPr>
        <w:tc>
          <w:tcPr>
            <w:tcW w:w="9360" w:type="dxa"/>
            <w:gridSpan w:val="2"/>
            <w:shd w:val="clear" w:color="auto" w:fill="FFFFFF"/>
            <w:tcMar>
              <w:top w:w="100" w:type="dxa"/>
              <w:left w:w="100" w:type="dxa"/>
              <w:bottom w:w="100" w:type="dxa"/>
              <w:right w:w="100" w:type="dxa"/>
            </w:tcMar>
          </w:tcPr>
          <w:p w14:paraId="6F92336D" w14:textId="77777777" w:rsidR="007573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7573FF" w14:paraId="34270090" w14:textId="77777777">
        <w:trPr>
          <w:trHeight w:val="478"/>
        </w:trPr>
        <w:tc>
          <w:tcPr>
            <w:tcW w:w="2415" w:type="dxa"/>
            <w:tcMar>
              <w:top w:w="100" w:type="dxa"/>
              <w:left w:w="100" w:type="dxa"/>
              <w:bottom w:w="100" w:type="dxa"/>
              <w:right w:w="100" w:type="dxa"/>
            </w:tcMar>
          </w:tcPr>
          <w:p w14:paraId="65B75815"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945"/>
            </w:tblGrid>
            <w:tr w:rsidR="005F448C" w:rsidRPr="005F448C" w14:paraId="7A583905" w14:textId="77777777">
              <w:trPr>
                <w:tblCellSpacing w:w="15" w:type="dxa"/>
              </w:trPr>
              <w:tc>
                <w:tcPr>
                  <w:tcW w:w="36" w:type="dxa"/>
                  <w:tcBorders>
                    <w:bottom w:val="single" w:sz="6" w:space="0" w:color="42444D"/>
                  </w:tcBorders>
                  <w:vAlign w:val="center"/>
                  <w:hideMark/>
                </w:tcPr>
                <w:p w14:paraId="0C843683" w14:textId="77777777" w:rsidR="005F448C" w:rsidRPr="005F448C" w:rsidRDefault="005F448C" w:rsidP="005F448C">
                  <w:pPr>
                    <w:widowControl/>
                    <w:rPr>
                      <w:rFonts w:ascii="Times New Roman" w:eastAsia="Times New Roman" w:hAnsi="Times New Roman" w:cs="Times New Roman"/>
                      <w:sz w:val="24"/>
                      <w:szCs w:val="24"/>
                      <w:lang w:val="en-IN"/>
                    </w:rPr>
                  </w:pPr>
                </w:p>
              </w:tc>
              <w:tc>
                <w:tcPr>
                  <w:tcW w:w="8900" w:type="dxa"/>
                  <w:tcBorders>
                    <w:bottom w:val="single" w:sz="6" w:space="0" w:color="42444D"/>
                  </w:tcBorders>
                  <w:vAlign w:val="center"/>
                  <w:hideMark/>
                </w:tcPr>
                <w:p w14:paraId="472BE760" w14:textId="2F8541F8" w:rsidR="005F448C" w:rsidRPr="005F448C" w:rsidRDefault="005F448C" w:rsidP="005F448C">
                  <w:pPr>
                    <w:widowControl/>
                    <w:rPr>
                      <w:rFonts w:ascii="Arial" w:eastAsia="Times New Roman" w:hAnsi="Arial" w:cs="Arial"/>
                      <w:sz w:val="21"/>
                      <w:szCs w:val="21"/>
                      <w:lang w:val="en-IN"/>
                    </w:rPr>
                  </w:pPr>
                  <w:r w:rsidRPr="005F448C">
                    <w:rPr>
                      <w:rFonts w:ascii="Arial" w:eastAsia="Times New Roman" w:hAnsi="Arial" w:cs="Arial"/>
                      <w:sz w:val="21"/>
                      <w:szCs w:val="21"/>
                      <w:lang w:val="en-IN"/>
                    </w:rPr>
                    <w:t>Analyse</w:t>
                  </w:r>
                  <w:r w:rsidRPr="005F448C">
                    <w:rPr>
                      <w:rFonts w:ascii="Arial" w:eastAsia="Times New Roman" w:hAnsi="Arial" w:cs="Arial"/>
                      <w:sz w:val="21"/>
                      <w:szCs w:val="21"/>
                      <w:lang w:val="en-IN"/>
                    </w:rPr>
                    <w:t xml:space="preserve"> EV market performance and present clear insights on sales, manufacturers, vehicle categories, battery technologies, driving range, and customer satisfaction.</w:t>
                  </w:r>
                </w:p>
              </w:tc>
            </w:tr>
          </w:tbl>
          <w:p w14:paraId="45BB0E79" w14:textId="6DA921D7" w:rsidR="007573FF" w:rsidRDefault="007573FF">
            <w:pPr>
              <w:pBdr>
                <w:top w:val="nil"/>
                <w:left w:val="nil"/>
                <w:bottom w:val="nil"/>
                <w:right w:val="nil"/>
                <w:between w:val="nil"/>
              </w:pBdr>
              <w:rPr>
                <w:rFonts w:ascii="Times New Roman" w:eastAsia="Times New Roman" w:hAnsi="Times New Roman" w:cs="Times New Roman"/>
                <w:sz w:val="24"/>
                <w:szCs w:val="24"/>
              </w:rPr>
            </w:pPr>
          </w:p>
        </w:tc>
      </w:tr>
      <w:tr w:rsidR="007573FF" w14:paraId="256BE5F3" w14:textId="77777777">
        <w:trPr>
          <w:trHeight w:val="478"/>
        </w:trPr>
        <w:tc>
          <w:tcPr>
            <w:tcW w:w="2415" w:type="dxa"/>
            <w:tcMar>
              <w:top w:w="100" w:type="dxa"/>
              <w:left w:w="100" w:type="dxa"/>
              <w:bottom w:w="100" w:type="dxa"/>
              <w:right w:w="100" w:type="dxa"/>
            </w:tcMar>
          </w:tcPr>
          <w:p w14:paraId="574D6E86"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5095FF31" w14:textId="737E06AD"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Explore available EV market data, clean and prepare it, calculate key indicators, and build visual reports or an interactive dashboard. Conclusions are limited to the fields and period available in the dataset.</w:t>
            </w:r>
          </w:p>
        </w:tc>
      </w:tr>
      <w:tr w:rsidR="007573FF" w14:paraId="2F612262" w14:textId="77777777">
        <w:trPr>
          <w:trHeight w:val="478"/>
        </w:trPr>
        <w:tc>
          <w:tcPr>
            <w:tcW w:w="9360" w:type="dxa"/>
            <w:gridSpan w:val="2"/>
            <w:shd w:val="clear" w:color="auto" w:fill="FFFFFF"/>
            <w:tcMar>
              <w:top w:w="100" w:type="dxa"/>
              <w:left w:w="100" w:type="dxa"/>
              <w:bottom w:w="100" w:type="dxa"/>
              <w:right w:w="100" w:type="dxa"/>
            </w:tcMar>
          </w:tcPr>
          <w:p w14:paraId="37616B60" w14:textId="77777777" w:rsidR="007573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7573FF" w14:paraId="3216A039" w14:textId="77777777">
        <w:trPr>
          <w:trHeight w:val="478"/>
        </w:trPr>
        <w:tc>
          <w:tcPr>
            <w:tcW w:w="2415" w:type="dxa"/>
            <w:tcMar>
              <w:top w:w="100" w:type="dxa"/>
              <w:left w:w="100" w:type="dxa"/>
              <w:bottom w:w="100" w:type="dxa"/>
              <w:right w:w="100" w:type="dxa"/>
            </w:tcMar>
          </w:tcPr>
          <w:p w14:paraId="3C70E1A5"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518D3AD3" w14:textId="518FCAAE"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EV market information is spread across multiple metrics and vehicle segments, making it difficult to compare manufacturers, technologies, regions, and customer feedback in one place.</w:t>
            </w:r>
          </w:p>
        </w:tc>
      </w:tr>
      <w:tr w:rsidR="007573FF" w14:paraId="371D3ADD" w14:textId="77777777">
        <w:trPr>
          <w:trHeight w:val="478"/>
        </w:trPr>
        <w:tc>
          <w:tcPr>
            <w:tcW w:w="2415" w:type="dxa"/>
            <w:tcMar>
              <w:top w:w="100" w:type="dxa"/>
              <w:left w:w="100" w:type="dxa"/>
              <w:bottom w:w="100" w:type="dxa"/>
              <w:right w:w="100" w:type="dxa"/>
            </w:tcMar>
          </w:tcPr>
          <w:p w14:paraId="290D6FF1"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038C441A" w14:textId="733D547D"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 consolidated view can reduce manual comparison effort, make trends easier to identify, and support market planning, product positioning, and sustainable-mobility research.</w:t>
            </w:r>
          </w:p>
        </w:tc>
      </w:tr>
      <w:tr w:rsidR="007573FF" w14:paraId="6D6A7E85" w14:textId="77777777">
        <w:trPr>
          <w:trHeight w:val="478"/>
        </w:trPr>
        <w:tc>
          <w:tcPr>
            <w:tcW w:w="9360" w:type="dxa"/>
            <w:gridSpan w:val="2"/>
            <w:shd w:val="clear" w:color="auto" w:fill="FFFFFF"/>
            <w:tcMar>
              <w:top w:w="100" w:type="dxa"/>
              <w:left w:w="100" w:type="dxa"/>
              <w:bottom w:w="100" w:type="dxa"/>
              <w:right w:w="100" w:type="dxa"/>
            </w:tcMar>
          </w:tcPr>
          <w:p w14:paraId="77680A92" w14:textId="77777777" w:rsidR="007573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7573FF" w14:paraId="741F5EE8" w14:textId="77777777">
        <w:trPr>
          <w:trHeight w:val="478"/>
        </w:trPr>
        <w:tc>
          <w:tcPr>
            <w:tcW w:w="2415" w:type="dxa"/>
            <w:tcMar>
              <w:top w:w="100" w:type="dxa"/>
              <w:left w:w="100" w:type="dxa"/>
              <w:bottom w:w="100" w:type="dxa"/>
              <w:right w:w="100" w:type="dxa"/>
            </w:tcMar>
          </w:tcPr>
          <w:p w14:paraId="29849B58"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945"/>
            </w:tblGrid>
            <w:tr w:rsidR="005F448C" w:rsidRPr="005F448C" w14:paraId="008E3F91" w14:textId="77777777">
              <w:trPr>
                <w:tblCellSpacing w:w="15" w:type="dxa"/>
              </w:trPr>
              <w:tc>
                <w:tcPr>
                  <w:tcW w:w="36" w:type="dxa"/>
                  <w:tcBorders>
                    <w:bottom w:val="single" w:sz="6" w:space="0" w:color="42444D"/>
                  </w:tcBorders>
                  <w:vAlign w:val="center"/>
                  <w:hideMark/>
                </w:tcPr>
                <w:p w14:paraId="78FC9ABE" w14:textId="77777777" w:rsidR="005F448C" w:rsidRPr="005F448C" w:rsidRDefault="005F448C" w:rsidP="005F448C">
                  <w:pPr>
                    <w:widowControl/>
                    <w:rPr>
                      <w:rFonts w:ascii="Times New Roman" w:eastAsia="Times New Roman" w:hAnsi="Times New Roman" w:cs="Times New Roman"/>
                      <w:sz w:val="24"/>
                      <w:szCs w:val="24"/>
                      <w:lang w:val="en-IN"/>
                    </w:rPr>
                  </w:pPr>
                </w:p>
              </w:tc>
              <w:tc>
                <w:tcPr>
                  <w:tcW w:w="8900" w:type="dxa"/>
                  <w:tcBorders>
                    <w:bottom w:val="single" w:sz="6" w:space="0" w:color="42444D"/>
                  </w:tcBorders>
                  <w:vAlign w:val="center"/>
                  <w:hideMark/>
                </w:tcPr>
                <w:p w14:paraId="0DC959FF" w14:textId="77777777" w:rsidR="005F448C" w:rsidRPr="005F448C" w:rsidRDefault="005F448C" w:rsidP="005F448C">
                  <w:pPr>
                    <w:widowControl/>
                    <w:rPr>
                      <w:rFonts w:ascii="Arial" w:eastAsia="Times New Roman" w:hAnsi="Arial" w:cs="Arial"/>
                      <w:sz w:val="21"/>
                      <w:szCs w:val="21"/>
                      <w:lang w:val="en-IN"/>
                    </w:rPr>
                  </w:pPr>
                  <w:r w:rsidRPr="005F448C">
                    <w:rPr>
                      <w:rFonts w:ascii="Arial" w:eastAsia="Times New Roman" w:hAnsi="Arial" w:cs="Arial"/>
                      <w:sz w:val="21"/>
                      <w:szCs w:val="21"/>
                      <w:lang w:val="en-IN"/>
                    </w:rPr>
                    <w:t xml:space="preserve">Import the dataset, validate and clean records, standardize categories, </w:t>
                  </w:r>
                  <w:proofErr w:type="spellStart"/>
                  <w:r w:rsidRPr="005F448C">
                    <w:rPr>
                      <w:rFonts w:ascii="Arial" w:eastAsia="Times New Roman" w:hAnsi="Arial" w:cs="Arial"/>
                      <w:sz w:val="21"/>
                      <w:szCs w:val="21"/>
                      <w:lang w:val="en-IN"/>
                    </w:rPr>
                    <w:t>analyze</w:t>
                  </w:r>
                  <w:proofErr w:type="spellEnd"/>
                  <w:r w:rsidRPr="005F448C">
                    <w:rPr>
                      <w:rFonts w:ascii="Arial" w:eastAsia="Times New Roman" w:hAnsi="Arial" w:cs="Arial"/>
                      <w:sz w:val="21"/>
                      <w:szCs w:val="21"/>
                      <w:lang w:val="en-IN"/>
                    </w:rPr>
                    <w:t xml:space="preserve"> KPIs, and present findings with charts, KPI cards, filters, and comparisons.</w:t>
                  </w:r>
                </w:p>
              </w:tc>
            </w:tr>
          </w:tbl>
          <w:p w14:paraId="5F484F84" w14:textId="05110515" w:rsidR="007573FF" w:rsidRDefault="007573FF">
            <w:pPr>
              <w:pBdr>
                <w:top w:val="nil"/>
                <w:left w:val="nil"/>
                <w:bottom w:val="nil"/>
                <w:right w:val="nil"/>
                <w:between w:val="nil"/>
              </w:pBdr>
              <w:rPr>
                <w:rFonts w:ascii="Times New Roman" w:eastAsia="Times New Roman" w:hAnsi="Times New Roman" w:cs="Times New Roman"/>
                <w:sz w:val="24"/>
                <w:szCs w:val="24"/>
              </w:rPr>
            </w:pPr>
          </w:p>
        </w:tc>
      </w:tr>
      <w:tr w:rsidR="007573FF" w14:paraId="399AA6E3" w14:textId="77777777">
        <w:trPr>
          <w:trHeight w:val="478"/>
        </w:trPr>
        <w:tc>
          <w:tcPr>
            <w:tcW w:w="2415" w:type="dxa"/>
            <w:tcMar>
              <w:top w:w="100" w:type="dxa"/>
              <w:left w:w="100" w:type="dxa"/>
              <w:bottom w:w="100" w:type="dxa"/>
              <w:right w:w="100" w:type="dxa"/>
            </w:tcMar>
          </w:tcPr>
          <w:p w14:paraId="7288CFF5"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059ED694" w14:textId="38AAE217"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 xml:space="preserve">Annual EV sales analysis; manufacturer and </w:t>
            </w:r>
            <w:proofErr w:type="gramStart"/>
            <w:r w:rsidRPr="005F448C">
              <w:rPr>
                <w:rFonts w:ascii="Times New Roman" w:eastAsia="Times New Roman" w:hAnsi="Times New Roman" w:cs="Times New Roman"/>
                <w:sz w:val="24"/>
                <w:szCs w:val="24"/>
              </w:rPr>
              <w:t>market-share</w:t>
            </w:r>
            <w:proofErr w:type="gramEnd"/>
            <w:r w:rsidRPr="005F448C">
              <w:rPr>
                <w:rFonts w:ascii="Times New Roman" w:eastAsia="Times New Roman" w:hAnsi="Times New Roman" w:cs="Times New Roman"/>
                <w:sz w:val="24"/>
                <w:szCs w:val="24"/>
              </w:rPr>
              <w:t xml:space="preserve"> comparison; battery technology distribution; driving-range and </w:t>
            </w:r>
            <w:r w:rsidRPr="005F448C">
              <w:rPr>
                <w:rFonts w:ascii="Times New Roman" w:eastAsia="Times New Roman" w:hAnsi="Times New Roman" w:cs="Times New Roman"/>
                <w:sz w:val="24"/>
                <w:szCs w:val="24"/>
              </w:rPr>
              <w:lastRenderedPageBreak/>
              <w:t>battery-capacity comparison; manufacturing-country analysis; customer-</w:t>
            </w:r>
            <w:proofErr w:type="gramStart"/>
            <w:r w:rsidRPr="005F448C">
              <w:rPr>
                <w:rFonts w:ascii="Times New Roman" w:eastAsia="Times New Roman" w:hAnsi="Times New Roman" w:cs="Times New Roman"/>
                <w:sz w:val="24"/>
                <w:szCs w:val="24"/>
              </w:rPr>
              <w:t>rating</w:t>
            </w:r>
            <w:proofErr w:type="gramEnd"/>
            <w:r w:rsidRPr="005F448C">
              <w:rPr>
                <w:rFonts w:ascii="Times New Roman" w:eastAsia="Times New Roman" w:hAnsi="Times New Roman" w:cs="Times New Roman"/>
                <w:sz w:val="24"/>
                <w:szCs w:val="24"/>
              </w:rPr>
              <w:t xml:space="preserve"> insights.</w:t>
            </w:r>
          </w:p>
        </w:tc>
      </w:tr>
    </w:tbl>
    <w:p w14:paraId="7D011200" w14:textId="77777777" w:rsidR="007573FF" w:rsidRDefault="007573FF">
      <w:pPr>
        <w:widowControl/>
        <w:spacing w:after="160" w:line="120" w:lineRule="auto"/>
        <w:rPr>
          <w:rFonts w:ascii="Times New Roman" w:eastAsia="Times New Roman" w:hAnsi="Times New Roman" w:cs="Times New Roman"/>
          <w:sz w:val="24"/>
          <w:szCs w:val="24"/>
        </w:rPr>
      </w:pPr>
    </w:p>
    <w:p w14:paraId="2D1C8B67" w14:textId="77777777" w:rsidR="007573FF"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573FF" w14:paraId="1E15D543"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B1CBC92"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87AF1D2"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F9BFBBF"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7573FF" w14:paraId="7A9D0CB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A31D04"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7573FF" w14:paraId="34C1FC8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FD1E98"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8B98E5" w14:textId="4A024F98"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Computer or laptop for data processing and dashboard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753D6B" w14:textId="7A23AB17"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Standard laptop/PC; CPU and RAM depend on dataset size.</w:t>
            </w:r>
          </w:p>
        </w:tc>
      </w:tr>
      <w:tr w:rsidR="007573FF" w14:paraId="65AB506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0910C"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C924F7" w14:textId="6CBAB990"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RAM for loading, cleaning, and analyzing the dataset.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C0CFF" w14:textId="6A9A90AD"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b/>
                <w:bCs/>
                <w:sz w:val="24"/>
                <w:szCs w:val="24"/>
              </w:rPr>
              <w:t>8 GB RAM recommended</w:t>
            </w:r>
            <w:r w:rsidRPr="005F448C">
              <w:rPr>
                <w:rFonts w:ascii="Times New Roman" w:eastAsia="Times New Roman" w:hAnsi="Times New Roman" w:cs="Times New Roman"/>
                <w:sz w:val="24"/>
                <w:szCs w:val="24"/>
              </w:rPr>
              <w:t xml:space="preserve">; </w:t>
            </w:r>
            <w:r w:rsidRPr="005F448C">
              <w:rPr>
                <w:rFonts w:ascii="Times New Roman" w:eastAsia="Times New Roman" w:hAnsi="Times New Roman" w:cs="Times New Roman"/>
                <w:b/>
                <w:bCs/>
                <w:sz w:val="24"/>
                <w:szCs w:val="24"/>
              </w:rPr>
              <w:t>16 GB helpful</w:t>
            </w:r>
            <w:r w:rsidRPr="005F448C">
              <w:rPr>
                <w:rFonts w:ascii="Times New Roman" w:eastAsia="Times New Roman" w:hAnsi="Times New Roman" w:cs="Times New Roman"/>
                <w:sz w:val="24"/>
                <w:szCs w:val="24"/>
              </w:rPr>
              <w:t xml:space="preserve"> for larger datasets.</w:t>
            </w:r>
          </w:p>
        </w:tc>
      </w:tr>
      <w:tr w:rsidR="007573FF" w14:paraId="209738AC"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37667C"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gridCol w:w="110"/>
            </w:tblGrid>
            <w:tr w:rsidR="005F448C" w:rsidRPr="005F448C" w14:paraId="62B97601" w14:textId="00E349D7" w:rsidTr="005F448C">
              <w:trPr>
                <w:tblCellSpacing w:w="15" w:type="dxa"/>
              </w:trPr>
              <w:tc>
                <w:tcPr>
                  <w:tcW w:w="65" w:type="dxa"/>
                  <w:tcBorders>
                    <w:bottom w:val="single" w:sz="6" w:space="0" w:color="42444D"/>
                  </w:tcBorders>
                  <w:vAlign w:val="center"/>
                  <w:hideMark/>
                </w:tcPr>
                <w:p w14:paraId="409FC5C3" w14:textId="77777777" w:rsidR="005F448C" w:rsidRPr="005F448C" w:rsidRDefault="005F448C" w:rsidP="005F448C">
                  <w:pPr>
                    <w:widowControl/>
                    <w:rPr>
                      <w:rFonts w:ascii="Times New Roman" w:eastAsia="Times New Roman" w:hAnsi="Times New Roman" w:cs="Times New Roman"/>
                      <w:sz w:val="24"/>
                      <w:szCs w:val="24"/>
                      <w:lang w:val="en-IN"/>
                    </w:rPr>
                  </w:pPr>
                </w:p>
              </w:tc>
              <w:tc>
                <w:tcPr>
                  <w:tcW w:w="65" w:type="dxa"/>
                  <w:tcBorders>
                    <w:bottom w:val="single" w:sz="6" w:space="0" w:color="42444D"/>
                  </w:tcBorders>
                </w:tcPr>
                <w:p w14:paraId="2A947886" w14:textId="77777777" w:rsidR="005F448C" w:rsidRPr="005F448C" w:rsidRDefault="005F448C" w:rsidP="005F448C">
                  <w:pPr>
                    <w:widowControl/>
                    <w:rPr>
                      <w:rFonts w:ascii="Times New Roman" w:eastAsia="Times New Roman" w:hAnsi="Times New Roman" w:cs="Times New Roman"/>
                      <w:sz w:val="24"/>
                      <w:szCs w:val="24"/>
                      <w:lang w:val="en-IN"/>
                    </w:rPr>
                  </w:pPr>
                </w:p>
              </w:tc>
            </w:tr>
          </w:tbl>
          <w:p w14:paraId="0063ADAB" w14:textId="7569A419"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Space for raw data, cleaned data, project files, reports, and backups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0A2E19" w14:textId="16D1A9BE"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 xml:space="preserve">At least </w:t>
            </w:r>
            <w:r w:rsidRPr="005F448C">
              <w:rPr>
                <w:rFonts w:ascii="Times New Roman" w:eastAsia="Times New Roman" w:hAnsi="Times New Roman" w:cs="Times New Roman"/>
                <w:b/>
                <w:bCs/>
                <w:sz w:val="24"/>
                <w:szCs w:val="24"/>
              </w:rPr>
              <w:t>5–10 GB free space</w:t>
            </w:r>
            <w:r w:rsidRPr="005F448C">
              <w:rPr>
                <w:rFonts w:ascii="Times New Roman" w:eastAsia="Times New Roman" w:hAnsi="Times New Roman" w:cs="Times New Roman"/>
                <w:sz w:val="24"/>
                <w:szCs w:val="24"/>
              </w:rPr>
              <w:t>, depending on dataset size.</w:t>
            </w:r>
          </w:p>
        </w:tc>
      </w:tr>
      <w:tr w:rsidR="007573FF" w14:paraId="327071D7"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65DA31"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7573FF" w14:paraId="5662381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C13C8"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1FAEDC" w14:textId="49989652" w:rsidR="007573FF" w:rsidRDefault="005F448C">
            <w:pPr>
              <w:rPr>
                <w:rFonts w:ascii="Times New Roman" w:eastAsia="Times New Roman" w:hAnsi="Times New Roman" w:cs="Times New Roman"/>
                <w:sz w:val="24"/>
                <w:szCs w:val="24"/>
              </w:rPr>
            </w:pPr>
            <w:proofErr w:type="gramStart"/>
            <w:r w:rsidRPr="005F448C">
              <w:rPr>
                <w:rFonts w:ascii="Times New Roman" w:eastAsia="Times New Roman" w:hAnsi="Times New Roman" w:cs="Times New Roman"/>
                <w:sz w:val="24"/>
                <w:szCs w:val="24"/>
              </w:rPr>
              <w:t>Tool</w:t>
            </w:r>
            <w:proofErr w:type="gramEnd"/>
            <w:r w:rsidRPr="005F448C">
              <w:rPr>
                <w:rFonts w:ascii="Times New Roman" w:eastAsia="Times New Roman" w:hAnsi="Times New Roman" w:cs="Times New Roman"/>
                <w:sz w:val="24"/>
                <w:szCs w:val="24"/>
              </w:rPr>
              <w:t xml:space="preserve"> to clean data, calculate metrics, and create charts or dashboard.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83E12C" w14:textId="229BEFB6"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 xml:space="preserve">Power BI, Tableau, Excel, or Python libraries—use the tool </w:t>
            </w:r>
            <w:proofErr w:type="gramStart"/>
            <w:r w:rsidRPr="005F448C">
              <w:rPr>
                <w:rFonts w:ascii="Times New Roman" w:eastAsia="Times New Roman" w:hAnsi="Times New Roman" w:cs="Times New Roman"/>
                <w:sz w:val="24"/>
                <w:szCs w:val="24"/>
              </w:rPr>
              <w:t>actually selected</w:t>
            </w:r>
            <w:proofErr w:type="gramEnd"/>
            <w:r w:rsidRPr="005F448C">
              <w:rPr>
                <w:rFonts w:ascii="Times New Roman" w:eastAsia="Times New Roman" w:hAnsi="Times New Roman" w:cs="Times New Roman"/>
                <w:sz w:val="24"/>
                <w:szCs w:val="24"/>
              </w:rPr>
              <w:t>.</w:t>
            </w:r>
          </w:p>
        </w:tc>
      </w:tr>
      <w:tr w:rsidR="007573FF" w14:paraId="691BBFB6"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F964A"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0561FD" w14:textId="649306A3"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Optional libraries for data cleaning and analysis if using Python.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8CD6DD" w14:textId="37210713"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Pandas, NumPy, Matplotlib/Seaborn (only if Python is used).</w:t>
            </w:r>
          </w:p>
        </w:tc>
      </w:tr>
      <w:tr w:rsidR="007573FF" w14:paraId="3AA68E0E"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96AABE"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211E00" w14:textId="1B82D4D4"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 xml:space="preserve">Application </w:t>
            </w:r>
            <w:proofErr w:type="gramStart"/>
            <w:r w:rsidRPr="005F448C">
              <w:rPr>
                <w:rFonts w:ascii="Times New Roman" w:eastAsia="Times New Roman" w:hAnsi="Times New Roman" w:cs="Times New Roman"/>
                <w:sz w:val="24"/>
                <w:szCs w:val="24"/>
              </w:rPr>
              <w:t>used</w:t>
            </w:r>
            <w:proofErr w:type="gramEnd"/>
            <w:r w:rsidRPr="005F448C">
              <w:rPr>
                <w:rFonts w:ascii="Times New Roman" w:eastAsia="Times New Roman" w:hAnsi="Times New Roman" w:cs="Times New Roman"/>
                <w:sz w:val="24"/>
                <w:szCs w:val="24"/>
              </w:rPr>
              <w:t xml:space="preserve"> to edit, analyze, and manage project files.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88E42E" w14:textId="575E326B"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Power BI Desktop / Excel / Jupyter Notebook / VS Code, as applicable.</w:t>
            </w:r>
          </w:p>
        </w:tc>
      </w:tr>
      <w:tr w:rsidR="007573FF" w14:paraId="1C81E525"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A484A8"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7573FF" w14:paraId="638DDEB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407430"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B634AC" w14:textId="0E654746"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Source and fields for sales, manufacturer, vehicle type, battery specifications, range, country, and customer ratings.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F7F27" w14:textId="10A58767"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CSV/Excel or other available dataset; record source, time period, row count, and data limitations.</w:t>
            </w:r>
          </w:p>
        </w:tc>
      </w:tr>
    </w:tbl>
    <w:p w14:paraId="54A72EA9" w14:textId="77777777" w:rsidR="007573FF" w:rsidRDefault="007573FF">
      <w:pPr>
        <w:widowControl/>
        <w:spacing w:after="160" w:line="259" w:lineRule="auto"/>
        <w:rPr>
          <w:rFonts w:ascii="Times New Roman" w:eastAsia="Times New Roman" w:hAnsi="Times New Roman" w:cs="Times New Roman"/>
          <w:sz w:val="24"/>
          <w:szCs w:val="24"/>
        </w:rPr>
      </w:pPr>
    </w:p>
    <w:p w14:paraId="2CB5EB1A" w14:textId="77777777" w:rsidR="007573FF" w:rsidRDefault="007573FF">
      <w:pPr>
        <w:widowControl/>
        <w:spacing w:after="160" w:line="259" w:lineRule="auto"/>
        <w:rPr>
          <w:rFonts w:ascii="Times New Roman" w:eastAsia="Times New Roman" w:hAnsi="Times New Roman" w:cs="Times New Roman"/>
        </w:rPr>
      </w:pPr>
    </w:p>
    <w:sectPr w:rsidR="007573FF">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CBB2A" w14:textId="77777777" w:rsidR="005A1EDC" w:rsidRDefault="005A1EDC">
      <w:r>
        <w:separator/>
      </w:r>
    </w:p>
  </w:endnote>
  <w:endnote w:type="continuationSeparator" w:id="0">
    <w:p w14:paraId="2076DAF7" w14:textId="77777777" w:rsidR="005A1EDC" w:rsidRDefault="005A1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4259266-F764-405E-AD2F-9F2E08E39858}"/>
    <w:embedBold r:id="rId2" w:fontKey="{F65A5006-B189-4238-A93C-B6B1D605D8D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9C78563-DE37-4800-A804-8DD215EB60DF}"/>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4" w:fontKey="{F75ADB5E-88AD-4414-803E-0191B2B64CA2}"/>
  </w:font>
  <w:font w:name="Cambria">
    <w:panose1 w:val="02040503050406030204"/>
    <w:charset w:val="00"/>
    <w:family w:val="roman"/>
    <w:pitch w:val="variable"/>
    <w:sig w:usb0="E00006FF" w:usb1="420024FF" w:usb2="02000000" w:usb3="00000000" w:csb0="0000019F" w:csb1="00000000"/>
    <w:embedRegular r:id="rId5" w:fontKey="{C8A2026B-1403-425D-8C27-624332BDD4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53F8B" w14:textId="77777777" w:rsidR="005A1EDC" w:rsidRDefault="005A1EDC">
      <w:r>
        <w:separator/>
      </w:r>
    </w:p>
  </w:footnote>
  <w:footnote w:type="continuationSeparator" w:id="0">
    <w:p w14:paraId="22CA3966" w14:textId="77777777" w:rsidR="005A1EDC" w:rsidRDefault="005A1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F417" w14:textId="77777777" w:rsidR="007573FF" w:rsidRDefault="00000000">
    <w:pPr>
      <w:jc w:val="both"/>
    </w:pPr>
    <w:r>
      <w:rPr>
        <w:noProof/>
      </w:rPr>
      <w:drawing>
        <wp:anchor distT="114300" distB="114300" distL="114300" distR="114300" simplePos="0" relativeHeight="251658240" behindDoc="0" locked="0" layoutInCell="1" hidden="0" allowOverlap="1" wp14:anchorId="5E8928AF" wp14:editId="4EEAAD9F">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1606F957" w14:textId="77777777" w:rsidR="007573FF" w:rsidRDefault="007573FF"/>
  <w:p w14:paraId="2498300F" w14:textId="77777777" w:rsidR="007573FF" w:rsidRDefault="007573F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3FF"/>
    <w:rsid w:val="005A1EDC"/>
    <w:rsid w:val="005F448C"/>
    <w:rsid w:val="007573FF"/>
    <w:rsid w:val="00EB52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44E7"/>
  <w15:docId w15:val="{45D37DCC-6393-4E62-B19D-D729B4610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 kapadia</dc:creator>
  <cp:lastModifiedBy>aditi kapadia</cp:lastModifiedBy>
  <cp:revision>2</cp:revision>
  <dcterms:created xsi:type="dcterms:W3CDTF">2026-10-21T11:53:00Z</dcterms:created>
  <dcterms:modified xsi:type="dcterms:W3CDTF">2026-10-21T11:53:00Z</dcterms:modified>
</cp:coreProperties>
</file>