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E2637" w14:textId="77777777" w:rsidR="001B6A13" w:rsidRDefault="00000000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A06119C" wp14:editId="75DE445E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6AF1BAEA" wp14:editId="569C8B15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C320" w14:textId="77777777" w:rsidR="001B6A13" w:rsidRDefault="00000000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42E696D7" w14:textId="77777777" w:rsidR="001B6A13" w:rsidRDefault="001B6A13">
      <w:pPr>
        <w:pStyle w:val="BodyText"/>
        <w:spacing w:before="48"/>
        <w:rPr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1B6A13" w14:paraId="68EDE94C" w14:textId="77777777">
        <w:trPr>
          <w:trHeight w:val="419"/>
        </w:trPr>
        <w:tc>
          <w:tcPr>
            <w:tcW w:w="2820" w:type="dxa"/>
          </w:tcPr>
          <w:p w14:paraId="23358562" w14:textId="77777777" w:rsidR="001B6A13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574ABAD2" w14:textId="6090C08A" w:rsidR="001B6A13" w:rsidRDefault="00B943DD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20/10/2026</w:t>
            </w:r>
          </w:p>
        </w:tc>
      </w:tr>
      <w:tr w:rsidR="001B6A13" w14:paraId="33D1163D" w14:textId="77777777">
        <w:trPr>
          <w:trHeight w:val="420"/>
        </w:trPr>
        <w:tc>
          <w:tcPr>
            <w:tcW w:w="2820" w:type="dxa"/>
          </w:tcPr>
          <w:p w14:paraId="0A1BEEBE" w14:textId="77777777" w:rsidR="001B6A13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6CA2923D" w14:textId="1958A5B5" w:rsidR="001B6A13" w:rsidRDefault="00B943DD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Aditi Kapadia</w:t>
            </w:r>
          </w:p>
        </w:tc>
      </w:tr>
      <w:tr w:rsidR="001B6A13" w14:paraId="206C5405" w14:textId="77777777">
        <w:trPr>
          <w:trHeight w:val="399"/>
        </w:trPr>
        <w:tc>
          <w:tcPr>
            <w:tcW w:w="2820" w:type="dxa"/>
          </w:tcPr>
          <w:p w14:paraId="774EE12C" w14:textId="77777777" w:rsidR="001B6A13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8214BF9" w14:textId="73C1EAEC" w:rsidR="001B6A13" w:rsidRDefault="00B943DD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B943DD">
              <w:rPr>
                <w:b/>
                <w:bCs/>
                <w:sz w:val="20"/>
              </w:rPr>
              <w:t>Electric Vehicle Market Performance &amp; Insights</w:t>
            </w:r>
          </w:p>
        </w:tc>
      </w:tr>
      <w:tr w:rsidR="001B6A13" w14:paraId="5B89B093" w14:textId="77777777">
        <w:trPr>
          <w:trHeight w:val="420"/>
        </w:trPr>
        <w:tc>
          <w:tcPr>
            <w:tcW w:w="2820" w:type="dxa"/>
          </w:tcPr>
          <w:p w14:paraId="76DFFF02" w14:textId="77777777" w:rsidR="001B6A13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0A46DC9A" w14:textId="77777777" w:rsidR="001B6A13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4C47CCD2" w14:textId="77777777" w:rsidR="001B6A13" w:rsidRDefault="001B6A13">
      <w:pPr>
        <w:pStyle w:val="BodyText"/>
        <w:spacing w:before="210"/>
        <w:rPr>
          <w:b/>
          <w:sz w:val="28"/>
        </w:rPr>
      </w:pPr>
    </w:p>
    <w:p w14:paraId="798970D3" w14:textId="77777777" w:rsidR="001B6A13" w:rsidRDefault="00000000">
      <w:pPr>
        <w:pStyle w:val="Heading2"/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28BA3502" w14:textId="77777777" w:rsidR="001B6A13" w:rsidRDefault="00000000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0A904600" w14:textId="77777777" w:rsidR="001B6A13" w:rsidRDefault="001B6A13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1B6A13" w14:paraId="45252E21" w14:textId="77777777">
        <w:trPr>
          <w:trHeight w:val="1079"/>
        </w:trPr>
        <w:tc>
          <w:tcPr>
            <w:tcW w:w="580" w:type="dxa"/>
          </w:tcPr>
          <w:p w14:paraId="5BDA3149" w14:textId="77777777" w:rsidR="001B6A13" w:rsidRDefault="001B6A13">
            <w:pPr>
              <w:pStyle w:val="TableParagraph"/>
              <w:spacing w:before="155"/>
              <w:rPr>
                <w:sz w:val="18"/>
              </w:rPr>
            </w:pPr>
          </w:p>
          <w:p w14:paraId="5CA19BB4" w14:textId="77777777" w:rsidR="001B6A13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3EDF2E98" w14:textId="77777777" w:rsidR="001B6A13" w:rsidRDefault="001B6A13">
            <w:pPr>
              <w:pStyle w:val="TableParagraph"/>
              <w:spacing w:before="155"/>
              <w:rPr>
                <w:sz w:val="18"/>
              </w:rPr>
            </w:pPr>
          </w:p>
          <w:p w14:paraId="130B4DC5" w14:textId="77777777" w:rsidR="001B6A13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33B33C29" w14:textId="77777777" w:rsidR="001B6A13" w:rsidRDefault="001B6A13">
            <w:pPr>
              <w:pStyle w:val="TableParagraph"/>
              <w:spacing w:before="155"/>
              <w:rPr>
                <w:sz w:val="18"/>
              </w:rPr>
            </w:pPr>
          </w:p>
          <w:p w14:paraId="7E17B035" w14:textId="77777777" w:rsidR="001B6A13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6DCFCDBF" w14:textId="77777777" w:rsidR="001B6A13" w:rsidRDefault="00000000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58151930" w14:textId="77777777" w:rsidR="001B6A13" w:rsidRDefault="001B6A13">
            <w:pPr>
              <w:pStyle w:val="TableParagraph"/>
              <w:spacing w:before="35"/>
              <w:rPr>
                <w:sz w:val="18"/>
              </w:rPr>
            </w:pPr>
          </w:p>
          <w:p w14:paraId="3C742991" w14:textId="77777777" w:rsidR="001B6A13" w:rsidRDefault="00000000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4F6B856E" w14:textId="77777777" w:rsidR="001B6A13" w:rsidRDefault="001B6A13">
            <w:pPr>
              <w:pStyle w:val="TableParagraph"/>
              <w:spacing w:before="155"/>
              <w:rPr>
                <w:sz w:val="18"/>
              </w:rPr>
            </w:pPr>
          </w:p>
          <w:p w14:paraId="6AEA9A0F" w14:textId="77777777" w:rsidR="001B6A13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1B6A13" w14:paraId="4AEF09B8" w14:textId="77777777">
        <w:trPr>
          <w:trHeight w:val="619"/>
        </w:trPr>
        <w:tc>
          <w:tcPr>
            <w:tcW w:w="580" w:type="dxa"/>
          </w:tcPr>
          <w:p w14:paraId="3E678B6B" w14:textId="77777777" w:rsidR="001B6A13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255C6323" w14:textId="6BF9F109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Executive Sales &amp; KPI Dashboard</w:t>
            </w:r>
          </w:p>
        </w:tc>
        <w:tc>
          <w:tcPr>
            <w:tcW w:w="2840" w:type="dxa"/>
          </w:tcPr>
          <w:p w14:paraId="6453F254" w14:textId="56109737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High-level landing page featuring aggregate annual EV sales, category breakdowns (SUVs, sedans, etc.), and top-performing manufacturers.</w:t>
            </w:r>
          </w:p>
        </w:tc>
        <w:tc>
          <w:tcPr>
            <w:tcW w:w="1980" w:type="dxa"/>
          </w:tcPr>
          <w:p w14:paraId="03847EB3" w14:textId="676E8223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49"/>
            </w:tblGrid>
            <w:tr w:rsidR="00B943DD" w:rsidRPr="00B943DD" w14:paraId="0AEA0A4B" w14:textId="77777777">
              <w:trPr>
                <w:tblCellSpacing w:w="15" w:type="dxa"/>
              </w:trPr>
              <w:tc>
                <w:tcPr>
                  <w:tcW w:w="36" w:type="dxa"/>
                  <w:tcBorders>
                    <w:bottom w:val="single" w:sz="6" w:space="0" w:color="42444D"/>
                  </w:tcBorders>
                  <w:vAlign w:val="center"/>
                  <w:hideMark/>
                </w:tcPr>
                <w:p w14:paraId="5FD0C10F" w14:textId="77777777" w:rsidR="00B943DD" w:rsidRPr="00B943DD" w:rsidRDefault="00B943DD" w:rsidP="00B943D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hi-IN"/>
                    </w:rPr>
                  </w:pPr>
                </w:p>
              </w:tc>
              <w:tc>
                <w:tcPr>
                  <w:tcW w:w="404" w:type="dxa"/>
                  <w:tcBorders>
                    <w:bottom w:val="single" w:sz="6" w:space="0" w:color="42444D"/>
                  </w:tcBorders>
                  <w:vAlign w:val="center"/>
                  <w:hideMark/>
                </w:tcPr>
                <w:p w14:paraId="668B5934" w14:textId="77777777" w:rsidR="00B943DD" w:rsidRPr="00B943DD" w:rsidRDefault="00B943DD" w:rsidP="00B943DD">
                  <w:pPr>
                    <w:widowControl/>
                    <w:autoSpaceDE/>
                    <w:autoSpaceDN/>
                    <w:rPr>
                      <w:rFonts w:eastAsia="Times New Roman"/>
                      <w:sz w:val="21"/>
                      <w:szCs w:val="21"/>
                      <w:lang w:val="en-IN" w:eastAsia="en-IN" w:bidi="hi-IN"/>
                    </w:rPr>
                  </w:pPr>
                  <w:r w:rsidRPr="00B943DD">
                    <w:rPr>
                      <w:rFonts w:eastAsia="Times New Roman"/>
                      <w:b/>
                      <w:bCs/>
                      <w:sz w:val="21"/>
                      <w:szCs w:val="21"/>
                      <w:lang w:val="en-IN" w:eastAsia="en-IN" w:bidi="hi-IN"/>
                    </w:rPr>
                    <w:t>Yes</w:t>
                  </w:r>
                </w:p>
              </w:tc>
            </w:tr>
          </w:tbl>
          <w:p w14:paraId="0CFD4803" w14:textId="77777777" w:rsidR="001B6A13" w:rsidRDefault="001B6A13" w:rsidP="00B943DD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</w:tcPr>
          <w:p w14:paraId="01FEF8C2" w14:textId="59BC7634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 xml:space="preserve">Fully addresses </w:t>
            </w:r>
            <w:r w:rsidRPr="00B943DD">
              <w:rPr>
                <w:rFonts w:ascii="Times New Roman"/>
                <w:b/>
                <w:bCs/>
                <w:sz w:val="18"/>
              </w:rPr>
              <w:t>Emily's</w:t>
            </w:r>
            <w:r w:rsidRPr="00B943DD">
              <w:rPr>
                <w:rFonts w:ascii="Times New Roman"/>
                <w:sz w:val="18"/>
              </w:rPr>
              <w:t xml:space="preserve"> core requirement for executive-level market overviews.</w:t>
            </w:r>
          </w:p>
          <w:p w14:paraId="6BC04A4B" w14:textId="77777777" w:rsidR="00B943DD" w:rsidRPr="00B943DD" w:rsidRDefault="00B943DD" w:rsidP="00B943DD"/>
        </w:tc>
      </w:tr>
      <w:tr w:rsidR="001B6A13" w14:paraId="65672B50" w14:textId="77777777">
        <w:trPr>
          <w:trHeight w:val="600"/>
        </w:trPr>
        <w:tc>
          <w:tcPr>
            <w:tcW w:w="580" w:type="dxa"/>
          </w:tcPr>
          <w:p w14:paraId="4F54B607" w14:textId="77777777" w:rsidR="001B6A13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7FD810BE" w14:textId="34CADFAD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Battery Technology Benchmarking View</w:t>
            </w:r>
          </w:p>
        </w:tc>
        <w:tc>
          <w:tcPr>
            <w:tcW w:w="2840" w:type="dxa"/>
          </w:tcPr>
          <w:p w14:paraId="1F073FF0" w14:textId="24EA24DC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Technical matrix analyzing battery chemistry adoption (</w:t>
            </w:r>
            <w:r w:rsidRPr="00B943DD">
              <w:rPr>
                <w:rFonts w:ascii="Times New Roman"/>
                <w:b/>
                <w:bCs/>
                <w:sz w:val="18"/>
              </w:rPr>
              <w:t>LFP, NMC, NCA, Sodium-Ion, Solid-State</w:t>
            </w:r>
            <w:r w:rsidRPr="00B943DD">
              <w:rPr>
                <w:rFonts w:ascii="Times New Roman"/>
                <w:sz w:val="18"/>
              </w:rPr>
              <w:t>) against metrics like driving range and capacity.</w:t>
            </w:r>
          </w:p>
        </w:tc>
        <w:tc>
          <w:tcPr>
            <w:tcW w:w="1980" w:type="dxa"/>
          </w:tcPr>
          <w:p w14:paraId="742C97DA" w14:textId="5BB4968C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49"/>
            </w:tblGrid>
            <w:tr w:rsidR="00B943DD" w:rsidRPr="00B943DD" w14:paraId="60C450EF" w14:textId="77777777">
              <w:trPr>
                <w:tblCellSpacing w:w="15" w:type="dxa"/>
              </w:trPr>
              <w:tc>
                <w:tcPr>
                  <w:tcW w:w="36" w:type="dxa"/>
                  <w:tcBorders>
                    <w:bottom w:val="single" w:sz="6" w:space="0" w:color="42444D"/>
                  </w:tcBorders>
                  <w:vAlign w:val="center"/>
                  <w:hideMark/>
                </w:tcPr>
                <w:p w14:paraId="5687DE8C" w14:textId="77777777" w:rsidR="00B943DD" w:rsidRPr="00B943DD" w:rsidRDefault="00B943DD" w:rsidP="00B943D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hi-IN"/>
                    </w:rPr>
                  </w:pPr>
                </w:p>
              </w:tc>
              <w:tc>
                <w:tcPr>
                  <w:tcW w:w="404" w:type="dxa"/>
                  <w:tcBorders>
                    <w:bottom w:val="single" w:sz="6" w:space="0" w:color="42444D"/>
                  </w:tcBorders>
                  <w:vAlign w:val="center"/>
                  <w:hideMark/>
                </w:tcPr>
                <w:p w14:paraId="35719094" w14:textId="77777777" w:rsidR="00B943DD" w:rsidRPr="00B943DD" w:rsidRDefault="00B943DD" w:rsidP="00B943DD">
                  <w:pPr>
                    <w:widowControl/>
                    <w:autoSpaceDE/>
                    <w:autoSpaceDN/>
                    <w:rPr>
                      <w:rFonts w:eastAsia="Times New Roman"/>
                      <w:sz w:val="21"/>
                      <w:szCs w:val="21"/>
                      <w:lang w:val="en-IN" w:eastAsia="en-IN" w:bidi="hi-IN"/>
                    </w:rPr>
                  </w:pPr>
                  <w:r w:rsidRPr="00B943DD">
                    <w:rPr>
                      <w:rFonts w:eastAsia="Times New Roman"/>
                      <w:b/>
                      <w:bCs/>
                      <w:sz w:val="21"/>
                      <w:szCs w:val="21"/>
                      <w:lang w:val="en-IN" w:eastAsia="en-IN" w:bidi="hi-IN"/>
                    </w:rPr>
                    <w:t>Yes</w:t>
                  </w:r>
                </w:p>
              </w:tc>
            </w:tr>
          </w:tbl>
          <w:p w14:paraId="6DCA72D7" w14:textId="77777777" w:rsidR="001B6A13" w:rsidRDefault="001B6A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</w:tcPr>
          <w:p w14:paraId="086408FA" w14:textId="07E284AE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 xml:space="preserve">Built to satisfy </w:t>
            </w:r>
            <w:r w:rsidRPr="00B943DD">
              <w:rPr>
                <w:rFonts w:ascii="Times New Roman"/>
                <w:b/>
                <w:bCs/>
                <w:sz w:val="18"/>
              </w:rPr>
              <w:t>Dr. Sarah's</w:t>
            </w:r>
            <w:r w:rsidRPr="00B943DD">
              <w:rPr>
                <w:rFonts w:ascii="Times New Roman"/>
                <w:sz w:val="18"/>
              </w:rPr>
              <w:t xml:space="preserve"> sustainability and technological trend research.</w:t>
            </w:r>
          </w:p>
          <w:p w14:paraId="0AA48AA2" w14:textId="77777777" w:rsidR="00B943DD" w:rsidRPr="00B943DD" w:rsidRDefault="00B943DD" w:rsidP="00B943DD"/>
        </w:tc>
      </w:tr>
      <w:tr w:rsidR="001B6A13" w14:paraId="2777CE31" w14:textId="77777777">
        <w:trPr>
          <w:trHeight w:val="619"/>
        </w:trPr>
        <w:tc>
          <w:tcPr>
            <w:tcW w:w="580" w:type="dxa"/>
          </w:tcPr>
          <w:p w14:paraId="41F57A53" w14:textId="77777777" w:rsidR="001B6A13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016288F7" w14:textId="73C1DB82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Geographic Production &amp; Market Share Map</w:t>
            </w:r>
          </w:p>
        </w:tc>
        <w:tc>
          <w:tcPr>
            <w:tcW w:w="2840" w:type="dxa"/>
          </w:tcPr>
          <w:p w14:paraId="3C2D11CB" w14:textId="0BA1DD05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Interactive filled/symbol map visualizing manufacturing countries, production density, and regional market share percentages.</w:t>
            </w:r>
          </w:p>
        </w:tc>
        <w:tc>
          <w:tcPr>
            <w:tcW w:w="1980" w:type="dxa"/>
          </w:tcPr>
          <w:p w14:paraId="28107D14" w14:textId="0E7CFAE5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49"/>
            </w:tblGrid>
            <w:tr w:rsidR="00B943DD" w:rsidRPr="00B943DD" w14:paraId="01600DE3" w14:textId="77777777">
              <w:trPr>
                <w:tblCellSpacing w:w="15" w:type="dxa"/>
              </w:trPr>
              <w:tc>
                <w:tcPr>
                  <w:tcW w:w="36" w:type="dxa"/>
                  <w:tcBorders>
                    <w:bottom w:val="single" w:sz="6" w:space="0" w:color="42444D"/>
                  </w:tcBorders>
                  <w:vAlign w:val="center"/>
                  <w:hideMark/>
                </w:tcPr>
                <w:p w14:paraId="33BC65CD" w14:textId="77777777" w:rsidR="00B943DD" w:rsidRPr="00B943DD" w:rsidRDefault="00B943DD" w:rsidP="00B943D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hi-IN"/>
                    </w:rPr>
                  </w:pPr>
                </w:p>
              </w:tc>
              <w:tc>
                <w:tcPr>
                  <w:tcW w:w="404" w:type="dxa"/>
                  <w:tcBorders>
                    <w:bottom w:val="single" w:sz="6" w:space="0" w:color="42444D"/>
                  </w:tcBorders>
                  <w:vAlign w:val="center"/>
                  <w:hideMark/>
                </w:tcPr>
                <w:p w14:paraId="5D9A3E97" w14:textId="77777777" w:rsidR="00B943DD" w:rsidRPr="00B943DD" w:rsidRDefault="00B943DD" w:rsidP="00B943DD">
                  <w:pPr>
                    <w:widowControl/>
                    <w:autoSpaceDE/>
                    <w:autoSpaceDN/>
                    <w:rPr>
                      <w:rFonts w:eastAsia="Times New Roman"/>
                      <w:sz w:val="21"/>
                      <w:szCs w:val="21"/>
                      <w:lang w:val="en-IN" w:eastAsia="en-IN" w:bidi="hi-IN"/>
                    </w:rPr>
                  </w:pPr>
                  <w:r w:rsidRPr="00B943DD">
                    <w:rPr>
                      <w:rFonts w:eastAsia="Times New Roman"/>
                      <w:b/>
                      <w:bCs/>
                      <w:sz w:val="21"/>
                      <w:szCs w:val="21"/>
                      <w:lang w:val="en-IN" w:eastAsia="en-IN" w:bidi="hi-IN"/>
                    </w:rPr>
                    <w:t>Yes</w:t>
                  </w:r>
                </w:p>
              </w:tc>
            </w:tr>
          </w:tbl>
          <w:p w14:paraId="1B9B2F86" w14:textId="77777777" w:rsidR="001B6A13" w:rsidRDefault="001B6A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</w:tcPr>
          <w:p w14:paraId="0308B12B" w14:textId="1B1C71ED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 xml:space="preserve">Directly helps </w:t>
            </w:r>
            <w:r w:rsidRPr="00B943DD">
              <w:rPr>
                <w:rFonts w:ascii="Times New Roman"/>
                <w:b/>
                <w:bCs/>
                <w:sz w:val="18"/>
              </w:rPr>
              <w:t>David</w:t>
            </w:r>
            <w:r w:rsidRPr="00B943DD">
              <w:rPr>
                <w:rFonts w:ascii="Times New Roman"/>
                <w:sz w:val="18"/>
              </w:rPr>
              <w:t xml:space="preserve"> analyze international competitor landscapes and production hubs.</w:t>
            </w:r>
          </w:p>
          <w:p w14:paraId="2B7AF78E" w14:textId="77777777" w:rsidR="00B943DD" w:rsidRPr="00B943DD" w:rsidRDefault="00B943DD" w:rsidP="00B943DD"/>
        </w:tc>
      </w:tr>
      <w:tr w:rsidR="001B6A13" w14:paraId="09A88DF6" w14:textId="77777777">
        <w:trPr>
          <w:trHeight w:val="600"/>
        </w:trPr>
        <w:tc>
          <w:tcPr>
            <w:tcW w:w="580" w:type="dxa"/>
          </w:tcPr>
          <w:p w14:paraId="3A2DEBD8" w14:textId="77777777" w:rsidR="001B6A13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0EBD803C" w14:textId="180ED6D1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Cross-Dashboard Dynamic Filtering</w:t>
            </w:r>
          </w:p>
        </w:tc>
        <w:tc>
          <w:tcPr>
            <w:tcW w:w="2840" w:type="dxa"/>
          </w:tcPr>
          <w:p w14:paraId="16ED2B35" w14:textId="174D91E5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 xml:space="preserve">Set Actions and Parameter Actions </w:t>
            </w:r>
            <w:proofErr w:type="gramStart"/>
            <w:r w:rsidRPr="00B943DD">
              <w:rPr>
                <w:rFonts w:ascii="Times New Roman"/>
                <w:sz w:val="18"/>
              </w:rPr>
              <w:t>allowing</w:t>
            </w:r>
            <w:proofErr w:type="gramEnd"/>
            <w:r w:rsidRPr="00B943DD">
              <w:rPr>
                <w:rFonts w:ascii="Times New Roman"/>
                <w:sz w:val="18"/>
              </w:rPr>
              <w:t xml:space="preserve"> users to click a vehicle category on one sheet and instantly filter all other sheets.</w:t>
            </w:r>
          </w:p>
        </w:tc>
        <w:tc>
          <w:tcPr>
            <w:tcW w:w="1980" w:type="dxa"/>
          </w:tcPr>
          <w:p w14:paraId="239F4694" w14:textId="0A63BEB7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49"/>
            </w:tblGrid>
            <w:tr w:rsidR="00B943DD" w:rsidRPr="00B943DD" w14:paraId="4B23824E" w14:textId="77777777">
              <w:trPr>
                <w:tblCellSpacing w:w="15" w:type="dxa"/>
              </w:trPr>
              <w:tc>
                <w:tcPr>
                  <w:tcW w:w="36" w:type="dxa"/>
                  <w:tcBorders>
                    <w:bottom w:val="single" w:sz="6" w:space="0" w:color="42444D"/>
                  </w:tcBorders>
                  <w:vAlign w:val="center"/>
                  <w:hideMark/>
                </w:tcPr>
                <w:p w14:paraId="045AA0BE" w14:textId="77777777" w:rsidR="00B943DD" w:rsidRPr="00B943DD" w:rsidRDefault="00B943DD" w:rsidP="00B943D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hi-IN"/>
                    </w:rPr>
                  </w:pPr>
                </w:p>
              </w:tc>
              <w:tc>
                <w:tcPr>
                  <w:tcW w:w="404" w:type="dxa"/>
                  <w:tcBorders>
                    <w:bottom w:val="single" w:sz="6" w:space="0" w:color="42444D"/>
                  </w:tcBorders>
                  <w:vAlign w:val="center"/>
                  <w:hideMark/>
                </w:tcPr>
                <w:p w14:paraId="23D55B7D" w14:textId="77777777" w:rsidR="00B943DD" w:rsidRPr="00B943DD" w:rsidRDefault="00B943DD" w:rsidP="00B943DD">
                  <w:pPr>
                    <w:widowControl/>
                    <w:autoSpaceDE/>
                    <w:autoSpaceDN/>
                    <w:rPr>
                      <w:rFonts w:eastAsia="Times New Roman"/>
                      <w:sz w:val="21"/>
                      <w:szCs w:val="21"/>
                      <w:lang w:val="en-IN" w:eastAsia="en-IN" w:bidi="hi-IN"/>
                    </w:rPr>
                  </w:pPr>
                  <w:r w:rsidRPr="00B943DD">
                    <w:rPr>
                      <w:rFonts w:eastAsia="Times New Roman"/>
                      <w:b/>
                      <w:bCs/>
                      <w:sz w:val="21"/>
                      <w:szCs w:val="21"/>
                      <w:lang w:val="en-IN" w:eastAsia="en-IN" w:bidi="hi-IN"/>
                    </w:rPr>
                    <w:t>Yes</w:t>
                  </w:r>
                </w:p>
              </w:tc>
            </w:tr>
          </w:tbl>
          <w:p w14:paraId="306369B1" w14:textId="77777777" w:rsidR="001B6A13" w:rsidRDefault="001B6A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</w:tcPr>
          <w:p w14:paraId="2CD78AFA" w14:textId="313EFC24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Enhances user experience by allowing stakeholders to drill down into custom slices of data</w:t>
            </w:r>
          </w:p>
          <w:p w14:paraId="70DA818A" w14:textId="77777777" w:rsidR="00B943DD" w:rsidRPr="00B943DD" w:rsidRDefault="00B943DD" w:rsidP="00B943DD"/>
        </w:tc>
      </w:tr>
      <w:tr w:rsidR="001B6A13" w14:paraId="52114A14" w14:textId="77777777">
        <w:trPr>
          <w:trHeight w:val="620"/>
        </w:trPr>
        <w:tc>
          <w:tcPr>
            <w:tcW w:w="580" w:type="dxa"/>
          </w:tcPr>
          <w:p w14:paraId="225ACF8A" w14:textId="77777777" w:rsidR="001B6A13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10D8AB51" w14:textId="53182F51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Unified Range Normalization Model</w:t>
            </w:r>
          </w:p>
        </w:tc>
        <w:tc>
          <w:tcPr>
            <w:tcW w:w="2840" w:type="dxa"/>
          </w:tcPr>
          <w:p w14:paraId="6330EF28" w14:textId="77BC8099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Custom Calculated Fields using Level of Detail (LOD) expressions to standardize driving ranges (WLTP vs. EPA) into a uniform mile/km metric.</w:t>
            </w:r>
          </w:p>
        </w:tc>
        <w:tc>
          <w:tcPr>
            <w:tcW w:w="1980" w:type="dxa"/>
          </w:tcPr>
          <w:p w14:paraId="6753BC3A" w14:textId="3699D451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49"/>
            </w:tblGrid>
            <w:tr w:rsidR="00B943DD" w:rsidRPr="00B943DD" w14:paraId="5C102C8A" w14:textId="77777777">
              <w:trPr>
                <w:tblCellSpacing w:w="15" w:type="dxa"/>
              </w:trPr>
              <w:tc>
                <w:tcPr>
                  <w:tcW w:w="36" w:type="dxa"/>
                  <w:tcBorders>
                    <w:bottom w:val="single" w:sz="6" w:space="0" w:color="42444D"/>
                  </w:tcBorders>
                  <w:vAlign w:val="center"/>
                  <w:hideMark/>
                </w:tcPr>
                <w:p w14:paraId="7406F915" w14:textId="77777777" w:rsidR="00B943DD" w:rsidRPr="00B943DD" w:rsidRDefault="00B943DD" w:rsidP="00B943D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hi-IN"/>
                    </w:rPr>
                  </w:pPr>
                </w:p>
              </w:tc>
              <w:tc>
                <w:tcPr>
                  <w:tcW w:w="404" w:type="dxa"/>
                  <w:tcBorders>
                    <w:bottom w:val="single" w:sz="6" w:space="0" w:color="42444D"/>
                  </w:tcBorders>
                  <w:vAlign w:val="center"/>
                  <w:hideMark/>
                </w:tcPr>
                <w:p w14:paraId="4A8E9C54" w14:textId="77777777" w:rsidR="00B943DD" w:rsidRPr="00B943DD" w:rsidRDefault="00B943DD" w:rsidP="00B943DD">
                  <w:pPr>
                    <w:widowControl/>
                    <w:autoSpaceDE/>
                    <w:autoSpaceDN/>
                    <w:rPr>
                      <w:rFonts w:eastAsia="Times New Roman"/>
                      <w:sz w:val="21"/>
                      <w:szCs w:val="21"/>
                      <w:lang w:val="en-IN" w:eastAsia="en-IN" w:bidi="hi-IN"/>
                    </w:rPr>
                  </w:pPr>
                  <w:r w:rsidRPr="00B943DD">
                    <w:rPr>
                      <w:rFonts w:eastAsia="Times New Roman"/>
                      <w:b/>
                      <w:bCs/>
                      <w:sz w:val="21"/>
                      <w:szCs w:val="21"/>
                      <w:lang w:val="en-IN" w:eastAsia="en-IN" w:bidi="hi-IN"/>
                    </w:rPr>
                    <w:t>Yes</w:t>
                  </w:r>
                </w:p>
              </w:tc>
            </w:tr>
          </w:tbl>
          <w:p w14:paraId="1268F017" w14:textId="77777777" w:rsidR="001B6A13" w:rsidRDefault="001B6A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</w:tcPr>
          <w:p w14:paraId="5ECF4EDC" w14:textId="2D83B1D4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S</w:t>
            </w:r>
            <w:r w:rsidRPr="00B943DD">
              <w:rPr>
                <w:rFonts w:ascii="Times New Roman"/>
                <w:sz w:val="18"/>
              </w:rPr>
              <w:t>olves</w:t>
            </w:r>
            <w:proofErr w:type="gramEnd"/>
            <w:r w:rsidRPr="00B943DD">
              <w:rPr>
                <w:rFonts w:ascii="Times New Roman"/>
                <w:sz w:val="18"/>
              </w:rPr>
              <w:t xml:space="preserve"> the baseline data discrepancy problem flagged in the technical review phase.</w:t>
            </w:r>
          </w:p>
        </w:tc>
      </w:tr>
      <w:tr w:rsidR="001B6A13" w14:paraId="4DC9D38D" w14:textId="77777777">
        <w:trPr>
          <w:trHeight w:val="599"/>
        </w:trPr>
        <w:tc>
          <w:tcPr>
            <w:tcW w:w="580" w:type="dxa"/>
          </w:tcPr>
          <w:p w14:paraId="7C53BA47" w14:textId="77777777" w:rsidR="001B6A13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331E2DE7" w14:textId="248D6DF0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Interactive Tableau Story Points</w:t>
            </w:r>
          </w:p>
        </w:tc>
        <w:tc>
          <w:tcPr>
            <w:tcW w:w="2840" w:type="dxa"/>
          </w:tcPr>
          <w:p w14:paraId="119F5EB3" w14:textId="596BD651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A narrative path ("Story Walkthrough") that guides non-technical users step-by-step through the core findings of the EV market analysis.</w:t>
            </w:r>
          </w:p>
          <w:p w14:paraId="27D3D75A" w14:textId="77777777" w:rsidR="00B943DD" w:rsidRPr="00B943DD" w:rsidRDefault="00B943DD" w:rsidP="00B943DD"/>
        </w:tc>
        <w:tc>
          <w:tcPr>
            <w:tcW w:w="1980" w:type="dxa"/>
          </w:tcPr>
          <w:p w14:paraId="04F968C6" w14:textId="6EBAF8FE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 w:rsidRPr="00B943DD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49"/>
            </w:tblGrid>
            <w:tr w:rsidR="00B943DD" w:rsidRPr="00B943DD" w14:paraId="3866E396" w14:textId="77777777">
              <w:trPr>
                <w:tblCellSpacing w:w="15" w:type="dxa"/>
              </w:trPr>
              <w:tc>
                <w:tcPr>
                  <w:tcW w:w="36" w:type="dxa"/>
                  <w:tcBorders>
                    <w:bottom w:val="single" w:sz="6" w:space="0" w:color="42444D"/>
                  </w:tcBorders>
                  <w:vAlign w:val="center"/>
                  <w:hideMark/>
                </w:tcPr>
                <w:p w14:paraId="282559AD" w14:textId="77777777" w:rsidR="00B943DD" w:rsidRPr="00B943DD" w:rsidRDefault="00B943DD" w:rsidP="00B943D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hi-IN"/>
                    </w:rPr>
                  </w:pPr>
                </w:p>
              </w:tc>
              <w:tc>
                <w:tcPr>
                  <w:tcW w:w="404" w:type="dxa"/>
                  <w:tcBorders>
                    <w:bottom w:val="single" w:sz="6" w:space="0" w:color="42444D"/>
                  </w:tcBorders>
                  <w:vAlign w:val="center"/>
                  <w:hideMark/>
                </w:tcPr>
                <w:p w14:paraId="3BEE19F7" w14:textId="77777777" w:rsidR="00B943DD" w:rsidRPr="00B943DD" w:rsidRDefault="00B943DD" w:rsidP="00B943DD">
                  <w:pPr>
                    <w:widowControl/>
                    <w:autoSpaceDE/>
                    <w:autoSpaceDN/>
                    <w:rPr>
                      <w:rFonts w:eastAsia="Times New Roman"/>
                      <w:sz w:val="21"/>
                      <w:szCs w:val="21"/>
                      <w:lang w:val="en-IN" w:eastAsia="en-IN" w:bidi="hi-IN"/>
                    </w:rPr>
                  </w:pPr>
                  <w:r w:rsidRPr="00B943DD">
                    <w:rPr>
                      <w:rFonts w:eastAsia="Times New Roman"/>
                      <w:b/>
                      <w:bCs/>
                      <w:sz w:val="21"/>
                      <w:szCs w:val="21"/>
                      <w:lang w:val="en-IN" w:eastAsia="en-IN" w:bidi="hi-IN"/>
                    </w:rPr>
                    <w:t>Yes</w:t>
                  </w:r>
                </w:p>
              </w:tc>
            </w:tr>
          </w:tbl>
          <w:p w14:paraId="6F351592" w14:textId="77777777" w:rsidR="001B6A13" w:rsidRDefault="001B6A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</w:tcPr>
          <w:p w14:paraId="00BDB880" w14:textId="77777777" w:rsidR="00B943DD" w:rsidRDefault="00B943DD" w:rsidP="00B943DD">
            <w:pPr>
              <w:rPr>
                <w:rFonts w:eastAsia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Core story paths are functional; minor styling refinements are pending for final deployment.</w:t>
            </w:r>
          </w:p>
          <w:p w14:paraId="1E8B2680" w14:textId="77777777" w:rsidR="001B6A13" w:rsidRDefault="001B6A13">
            <w:pPr>
              <w:pStyle w:val="TableParagraph"/>
              <w:rPr>
                <w:rFonts w:ascii="Times New Roman"/>
                <w:sz w:val="18"/>
              </w:rPr>
            </w:pPr>
          </w:p>
          <w:p w14:paraId="6289713B" w14:textId="77777777" w:rsidR="00B943DD" w:rsidRPr="00B943DD" w:rsidRDefault="00B943DD" w:rsidP="00B943DD"/>
        </w:tc>
      </w:tr>
    </w:tbl>
    <w:p w14:paraId="52C5B05F" w14:textId="77777777" w:rsidR="001B6A13" w:rsidRDefault="001B6A13">
      <w:pPr>
        <w:pStyle w:val="BodyText"/>
      </w:pPr>
    </w:p>
    <w:p w14:paraId="050C18C9" w14:textId="77777777" w:rsidR="001B6A13" w:rsidRDefault="001B6A13">
      <w:pPr>
        <w:pStyle w:val="BodyText"/>
        <w:spacing w:before="77"/>
      </w:pPr>
    </w:p>
    <w:p w14:paraId="3C1F9C8E" w14:textId="77777777" w:rsidR="001B6A13" w:rsidRDefault="00000000">
      <w:pPr>
        <w:pStyle w:val="Heading2"/>
        <w:spacing w:after="34"/>
      </w:pPr>
      <w:bookmarkStart w:id="2" w:name="Feature_Implementation_Summary:_"/>
      <w:bookmarkEnd w:id="2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1B6A13" w14:paraId="5C82A8F2" w14:textId="77777777">
        <w:trPr>
          <w:trHeight w:val="499"/>
        </w:trPr>
        <w:tc>
          <w:tcPr>
            <w:tcW w:w="4540" w:type="dxa"/>
          </w:tcPr>
          <w:p w14:paraId="23C5BCA5" w14:textId="77777777" w:rsidR="001B6A13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73E2BD3C" w14:textId="4655602C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1B6A13" w14:paraId="20390DC4" w14:textId="77777777">
        <w:trPr>
          <w:trHeight w:val="480"/>
        </w:trPr>
        <w:tc>
          <w:tcPr>
            <w:tcW w:w="4540" w:type="dxa"/>
          </w:tcPr>
          <w:p w14:paraId="1B983963" w14:textId="77777777" w:rsidR="001B6A13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39DE4CE7" w14:textId="061748ED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1B6A13" w14:paraId="67C71E2A" w14:textId="77777777">
        <w:trPr>
          <w:trHeight w:val="499"/>
        </w:trPr>
        <w:tc>
          <w:tcPr>
            <w:tcW w:w="4540" w:type="dxa"/>
          </w:tcPr>
          <w:p w14:paraId="47D1D57F" w14:textId="77777777" w:rsidR="001B6A13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57F832F1" w14:textId="54575B0A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1B6A13" w14:paraId="16C189D6" w14:textId="77777777">
        <w:trPr>
          <w:trHeight w:val="479"/>
        </w:trPr>
        <w:tc>
          <w:tcPr>
            <w:tcW w:w="4540" w:type="dxa"/>
          </w:tcPr>
          <w:p w14:paraId="5CDD308F" w14:textId="77777777" w:rsidR="001B6A13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Implementation Rate </w:t>
            </w:r>
            <w:r>
              <w:rPr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2C9CCF18" w14:textId="38B17B59" w:rsidR="001B6A13" w:rsidRDefault="00B943D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100%</w:t>
            </w:r>
          </w:p>
        </w:tc>
      </w:tr>
    </w:tbl>
    <w:p w14:paraId="19D1A079" w14:textId="77777777" w:rsidR="00C16D0A" w:rsidRDefault="00C16D0A"/>
    <w:sectPr w:rsidR="00C16D0A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13"/>
    <w:rsid w:val="001B6A13"/>
    <w:rsid w:val="00511A63"/>
    <w:rsid w:val="00B943DD"/>
    <w:rsid w:val="00C1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569B1"/>
  <w15:docId w15:val="{8C055707-6D9F-4FEF-82AC-D40FBF7D8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943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Aditi kapadia</dc:creator>
  <cp:lastModifiedBy>aditi kapadia</cp:lastModifiedBy>
  <cp:revision>2</cp:revision>
  <dcterms:created xsi:type="dcterms:W3CDTF">2026-10-21T16:06:00Z</dcterms:created>
  <dcterms:modified xsi:type="dcterms:W3CDTF">2026-10-21T16:06:00Z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2026-10-21T00:00:00Z</vt:filetime>
  </property>
</Properties>
</file>