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 xml:space="preserve">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 xml:space="preserve">EV Industry Market Analysis Dashboard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
        <w:br w:type="page"/>
      </w:r>
    </w:p>
    <w:tbl>
      <w:tblPr>
        <w:tblW w:w="9026" w:type="dxa"/>
        <w:jc w:val="center"/>
        <w:tblLayout w:type="fixed"/>
      </w:tblPr>
      <w:tblGrid>
        <w:gridCol w:w="3850"/>
        <w:gridCol w:w="1326"/>
        <w:gridCol w:w="3850"/>
      </w:tblGrid>
      <w:tr>
        <w:trPr>
          <w:cantSplit/>
        </w:trPr>
        <w:tc>
          <w:tcPr>
            <w:tcW w:w="3850" w:type="dxa"/>
            <w:tcBorders>
              <w:right w:val="single" w:sz="18" w:space="0" w:color="000000"/>
              <w:bottom w:val="single" w:sz="18" w:space="0" w:color="000000"/>
            </w:tcBorders>
            <w:shd w:val="clear" w:color="auto" w:fill="D9EBE9"/>
            <w:tcMar>
              <w:top w:w="100" w:type="dxa"/>
              <w:left w:w="140" w:type="dxa"/>
              <w:bottom w:w="100" w:type="dxa"/>
              <w:right w:w="140" w:type="dxa"/>
            </w:tcMar>
          </w:tcPr>
          <w:p>
            <w:pPr>
              <w:spacing w:before="0" w:after="100"/>
              <w:jc w:val="center"/>
            </w:pPr>
            <w:r>
              <w:rPr>
                <w:b/>
                <w:sz w:val="24"/>
                <w:szCs w:val="24"/>
              </w:rPr>
              <w:t xml:space="preserve">SAYS</w:t>
            </w:r>
          </w:p>
          <w:p>
            <w:pPr>
              <w:numPr>
                <w:ilvl w:val="0"/>
                <w:numId w:val="1"/>
              </w:numPr>
              <w:spacing w:before="0" w:after="60"/>
              <w:jc w:val="left"/>
            </w:pPr>
            <w:r>
              <w:rPr>
                <w:sz w:val="21"/>
                <w:szCs w:val="21"/>
              </w:rPr>
              <w:t xml:space="preserve">“Which vehicle categories contribute the most to our annual sales?”</w:t>
            </w:r>
          </w:p>
          <w:p>
            <w:pPr>
              <w:numPr>
                <w:ilvl w:val="0"/>
                <w:numId w:val="1"/>
              </w:numPr>
              <w:spacing w:before="0" w:after="60"/>
              <w:jc w:val="left"/>
            </w:pPr>
            <w:r>
              <w:rPr>
                <w:sz w:val="21"/>
                <w:szCs w:val="21"/>
              </w:rPr>
              <w:t xml:space="preserve">“Who are the leading manufacturers and how satisfied are their customers?”</w:t>
            </w:r>
          </w:p>
          <w:p>
            <w:pPr>
              <w:numPr>
                <w:ilvl w:val="0"/>
                <w:numId w:val="1"/>
              </w:numPr>
              <w:spacing w:before="0" w:after="60"/>
              <w:jc w:val="left"/>
            </w:pPr>
            <w:r>
              <w:rPr>
                <w:sz w:val="21"/>
                <w:szCs w:val="21"/>
              </w:rPr>
              <w:t xml:space="preserve">“I need an interactive dashboard I can present to leadership.”</w:t>
            </w:r>
          </w:p>
        </w:tc>
        <w:tc>
          <w:tcPr>
            <w:tcW w:w="1326" w:type="dxa"/>
            <w:tcBorders>
              <w:right w:val="single" w:sz="18" w:space="0" w:color="000000"/>
              <w:bottom w:val="single" w:sz="18" w:space="0" w:color="000000"/>
            </w:tcBorders>
            <w:tcMar>
              <w:top w:w="100" w:type="dxa"/>
              <w:left w:w="140" w:type="dxa"/>
              <w:bottom w:w="100" w:type="dxa"/>
              <w:right w:w="140" w:type="dxa"/>
            </w:tcMar>
          </w:tcPr>
          <w:p>
            <w:pPr>
              <w:spacing w:before="0" w:after="60"/>
              <w:jc w:val="left"/>
            </w:pPr>
            <w:r>
              <w:rPr>
                <w:sz w:val="22"/>
                <w:szCs w:val="22"/>
              </w:rPr>
              <w:t xml:space="preserve"/>
            </w:r>
          </w:p>
        </w:tc>
        <w:tc>
          <w:tcPr>
            <w:tcW w:w="3850" w:type="dxa"/>
            <w:tcBorders>
              <w:bottom w:val="single" w:sz="18" w:space="0" w:color="000000"/>
            </w:tcBorders>
            <w:shd w:val="clear" w:color="auto" w:fill="D9EBE9"/>
            <w:tcMar>
              <w:top w:w="100" w:type="dxa"/>
              <w:left w:w="140" w:type="dxa"/>
              <w:bottom w:w="100" w:type="dxa"/>
              <w:right w:w="140" w:type="dxa"/>
            </w:tcMar>
          </w:tcPr>
          <w:p>
            <w:pPr>
              <w:spacing w:before="0" w:after="100"/>
              <w:jc w:val="center"/>
            </w:pPr>
            <w:r>
              <w:rPr>
                <w:b/>
                <w:sz w:val="24"/>
                <w:szCs w:val="24"/>
              </w:rPr>
              <w:t xml:space="preserve">THINKS</w:t>
            </w:r>
          </w:p>
          <w:p>
            <w:pPr>
              <w:numPr>
                <w:ilvl w:val="0"/>
                <w:numId w:val="1"/>
              </w:numPr>
              <w:spacing w:before="0" w:after="60"/>
              <w:jc w:val="left"/>
            </w:pPr>
            <w:r>
              <w:rPr>
                <w:sz w:val="21"/>
                <w:szCs w:val="21"/>
              </w:rPr>
              <w:t xml:space="preserve">Which high-growth segments should our product portfolio target?</w:t>
            </w:r>
          </w:p>
          <w:p>
            <w:pPr>
              <w:numPr>
                <w:ilvl w:val="0"/>
                <w:numId w:val="1"/>
              </w:numPr>
              <w:spacing w:before="0" w:after="60"/>
              <w:jc w:val="left"/>
            </w:pPr>
            <w:r>
              <w:rPr>
                <w:sz w:val="21"/>
                <w:szCs w:val="21"/>
              </w:rPr>
              <w:t xml:space="preserve">Is our battery choice (LFP, NMC, NCA, Sodium-Ion, Solid-State) competitive on range and charging?</w:t>
            </w:r>
          </w:p>
          <w:p>
            <w:pPr>
              <w:numPr>
                <w:ilvl w:val="0"/>
                <w:numId w:val="1"/>
              </w:numPr>
              <w:spacing w:before="0" w:after="60"/>
              <w:jc w:val="left"/>
            </w:pPr>
            <w:r>
              <w:rPr>
                <w:sz w:val="21"/>
                <w:szCs w:val="21"/>
              </w:rPr>
              <w:t xml:space="preserve">Strategic decisions must be backed by data, not assumptions.</w:t>
            </w:r>
          </w:p>
        </w:tc>
      </w:tr>
      <w:tr>
        <w:trPr>
          <w:cantSplit/>
        </w:trPr>
        <w:tc>
          <w:tcPr>
            <w:tcW w:w="3850" w:type="dxa"/>
            <w:tcMar>
              <w:top w:w="100" w:type="dxa"/>
              <w:left w:w="140" w:type="dxa"/>
              <w:bottom w:w="100" w:type="dxa"/>
              <w:right w:w="140" w:type="dxa"/>
            </w:tcMar>
          </w:tcPr>
          <w:p>
            <w:pPr>
              <w:spacing w:before="0" w:after="60"/>
              <w:jc w:val="left"/>
            </w:pPr>
            <w:r>
              <w:rPr>
                <w:sz w:val="22"/>
                <w:szCs w:val="22"/>
              </w:rPr>
              <w:t xml:space="preserve"/>
            </w:r>
          </w:p>
        </w:tc>
        <w:tc>
          <w:tcPr>
            <w:tcW w:w="1326" w:type="dxa"/>
            <w:tcBorders>
              <w:right w:val="single" w:sz="18" w:space="0" w:color="000000"/>
            </w:tcBorders>
            <w:shd w:val="clear" w:color="auto" w:fill="E7E7E7"/>
            <w:tcMar>
              <w:top w:w="100" w:type="dxa"/>
              <w:left w:w="140" w:type="dxa"/>
              <w:bottom w:w="100" w:type="dxa"/>
              <w:right w:w="140" w:type="dxa"/>
            </w:tcMar>
          </w:tcPr>
          <w:p>
            <w:pPr>
              <w:spacing w:before="0" w:after="40"/>
              <w:jc w:val="center"/>
            </w:pPr>
            <w:r>
              <w:rPr>
                <w:b/>
                <w:sz w:val="22"/>
                <w:szCs w:val="22"/>
              </w:rPr>
              <w:t xml:space="preserve">EMILY JOHNSON</w:t>
            </w:r>
          </w:p>
          <w:p>
            <w:pPr>
              <w:spacing w:before="0" w:after="0"/>
              <w:jc w:val="center"/>
            </w:pPr>
            <w:r>
              <w:rPr>
                <w:i/>
                <w:color w:val="595959"/>
                <w:sz w:val="19"/>
                <w:szCs w:val="19"/>
              </w:rPr>
              <w:t xml:space="preserve">(EV Market Strategy Director)</w:t>
            </w:r>
          </w:p>
        </w:tc>
        <w:tc>
          <w:tcPr>
            <w:tcW w:w="3850" w:type="dxa"/>
            <w:tcMar>
              <w:top w:w="100" w:type="dxa"/>
              <w:left w:w="140" w:type="dxa"/>
              <w:bottom w:w="100" w:type="dxa"/>
              <w:right w:w="140" w:type="dxa"/>
            </w:tcMar>
          </w:tcPr>
          <w:p>
            <w:pPr>
              <w:spacing w:before="0" w:after="60"/>
              <w:jc w:val="left"/>
            </w:pPr>
            <w:r>
              <w:rPr>
                <w:sz w:val="22"/>
                <w:szCs w:val="22"/>
              </w:rPr>
              <w:t xml:space="preserve"/>
            </w:r>
          </w:p>
        </w:tc>
      </w:tr>
      <w:tr>
        <w:trPr>
          <w:cantSplit/>
        </w:trPr>
        <w:tc>
          <w:tcPr>
            <w:tcW w:w="3850" w:type="dxa"/>
            <w:tcBorders>
              <w:right w:val="single" w:sz="18" w:space="0" w:color="000000"/>
            </w:tcBorders>
            <w:shd w:val="clear" w:color="auto" w:fill="F0E6CC"/>
            <w:tcMar>
              <w:top w:w="100" w:type="dxa"/>
              <w:left w:w="140" w:type="dxa"/>
              <w:bottom w:w="100" w:type="dxa"/>
              <w:right w:w="140" w:type="dxa"/>
            </w:tcMar>
          </w:tcPr>
          <w:p>
            <w:pPr>
              <w:spacing w:before="0" w:after="100"/>
              <w:jc w:val="center"/>
            </w:pPr>
            <w:r>
              <w:rPr>
                <w:b/>
                <w:sz w:val="24"/>
                <w:szCs w:val="24"/>
              </w:rPr>
              <w:t xml:space="preserve">DOES</w:t>
            </w:r>
          </w:p>
          <w:p>
            <w:pPr>
              <w:numPr>
                <w:ilvl w:val="0"/>
                <w:numId w:val="1"/>
              </w:numPr>
              <w:spacing w:before="0" w:after="60"/>
              <w:jc w:val="left"/>
            </w:pPr>
            <w:r>
              <w:rPr>
                <w:sz w:val="21"/>
                <w:szCs w:val="21"/>
              </w:rPr>
              <w:t xml:space="preserve">Reviews sales, pricing and customer rating data across categories and regions</w:t>
            </w:r>
          </w:p>
          <w:p>
            <w:pPr>
              <w:numPr>
                <w:ilvl w:val="0"/>
                <w:numId w:val="1"/>
              </w:numPr>
              <w:spacing w:before="0" w:after="60"/>
              <w:jc w:val="left"/>
            </w:pPr>
            <w:r>
              <w:rPr>
                <w:sz w:val="21"/>
                <w:szCs w:val="21"/>
              </w:rPr>
              <w:t xml:space="preserve">Compares battery technologies and driving range across vehicle categories</w:t>
            </w:r>
          </w:p>
          <w:p>
            <w:pPr>
              <w:numPr>
                <w:ilvl w:val="0"/>
                <w:numId w:val="1"/>
              </w:numPr>
              <w:spacing w:before="0" w:after="60"/>
              <w:jc w:val="left"/>
            </w:pPr>
            <w:r>
              <w:rPr>
                <w:sz w:val="21"/>
                <w:szCs w:val="21"/>
              </w:rPr>
              <w:t xml:space="preserve">Presents market insights to executives to support strategic planning</w:t>
            </w:r>
          </w:p>
        </w:tc>
        <w:tc>
          <w:tcPr>
            <w:tcW w:w="1326" w:type="dxa"/>
            <w:tcBorders>
              <w:right w:val="single" w:sz="18" w:space="0" w:color="000000"/>
            </w:tcBorders>
            <w:tcMar>
              <w:top w:w="100" w:type="dxa"/>
              <w:left w:w="140" w:type="dxa"/>
              <w:bottom w:w="100" w:type="dxa"/>
              <w:right w:w="140" w:type="dxa"/>
            </w:tcMar>
          </w:tcPr>
          <w:p>
            <w:pPr>
              <w:spacing w:before="0" w:after="60"/>
              <w:jc w:val="left"/>
            </w:pPr>
            <w:r>
              <w:rPr>
                <w:sz w:val="22"/>
                <w:szCs w:val="22"/>
              </w:rPr>
              <w:t xml:space="preserve"/>
            </w:r>
          </w:p>
        </w:tc>
        <w:tc>
          <w:tcPr>
            <w:tcW w:w="3850" w:type="dxa"/>
            <w:shd w:val="clear" w:color="auto" w:fill="F0E6CC"/>
            <w:tcMar>
              <w:top w:w="100" w:type="dxa"/>
              <w:left w:w="140" w:type="dxa"/>
              <w:bottom w:w="100" w:type="dxa"/>
              <w:right w:w="140" w:type="dxa"/>
            </w:tcMar>
          </w:tcPr>
          <w:p>
            <w:pPr>
              <w:spacing w:before="0" w:after="100"/>
              <w:jc w:val="center"/>
            </w:pPr>
            <w:r>
              <w:rPr>
                <w:b/>
                <w:sz w:val="24"/>
                <w:szCs w:val="24"/>
              </w:rPr>
              <w:t xml:space="preserve">FEELS</w:t>
            </w:r>
          </w:p>
          <w:p>
            <w:pPr>
              <w:numPr>
                <w:ilvl w:val="0"/>
                <w:numId w:val="1"/>
              </w:numPr>
              <w:spacing w:before="0" w:after="60"/>
              <w:jc w:val="left"/>
            </w:pPr>
            <w:r>
              <w:rPr>
                <w:sz w:val="21"/>
                <w:szCs w:val="21"/>
              </w:rPr>
              <w:t xml:space="preserve">Pressured by intensifying competition and the need for quick decisions</w:t>
            </w:r>
          </w:p>
          <w:p>
            <w:pPr>
              <w:numPr>
                <w:ilvl w:val="0"/>
                <w:numId w:val="1"/>
              </w:numPr>
              <w:spacing w:before="0" w:after="60"/>
              <w:jc w:val="left"/>
            </w:pPr>
            <w:r>
              <w:rPr>
                <w:sz w:val="21"/>
                <w:szCs w:val="21"/>
              </w:rPr>
              <w:t xml:space="preserve">Frustrated when data is scattered and hard to compare</w:t>
            </w:r>
          </w:p>
          <w:p>
            <w:pPr>
              <w:numPr>
                <w:ilvl w:val="0"/>
                <w:numId w:val="1"/>
              </w:numPr>
              <w:spacing w:before="0" w:after="60"/>
              <w:jc w:val="left"/>
            </w:pPr>
            <w:r>
              <w:rPr>
                <w:sz w:val="21"/>
                <w:szCs w:val="21"/>
              </w:rPr>
              <w:t xml:space="preserve">Confident and in control when insights are clear and visual</w:t>
            </w:r>
          </w:p>
        </w:tc>
      </w:tr>
    </w:tbl>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multiLevelType w:val="hybridMultilevel"/>
    <w:lvl w:ilvl="0">
      <w:start w:val="1"/>
      <w:numFmt w:val="bullet"/>
      <w:lvlText w:val="•"/>
      <w:lvlJc w:val="left"/>
      <w:pPr>
        <w:ind w:left="360" w:hanging="26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