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Individual</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EV Industry Market Analysis Dashboard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0D">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078232226188"/>
        <w:gridCol w:w="2015.5503705737033"/>
        <w:gridCol w:w="3357.970903101839"/>
        <w:gridCol w:w="3357.970903101839"/>
        <w:tblGridChange w:id="0">
          <w:tblGrid>
            <w:gridCol w:w="592.5078232226188"/>
            <w:gridCol w:w="2015.5503705737033"/>
            <w:gridCol w:w="3357.970903101839"/>
            <w:gridCol w:w="3357.970903101839"/>
          </w:tblGrid>
        </w:tblGridChange>
      </w:tblGrid>
      <w:tr>
        <w:trPr>
          <w:cantSplit w:val="0"/>
          <w:trHeight w:val="333" w:hRule="atLeast"/>
          <w:tblHeader w:val="0"/>
        </w:trPr>
        <w:tc>
          <w:tcPr/>
          <w:p w:rsidR="00000000" w:rsidDel="00000000" w:rsidP="00000000" w:rsidRDefault="00000000" w:rsidRPr="00000000" w14:paraId="0000000E">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0F">
            <w:pPr>
              <w:rPr>
                <w:b w:val="1"/>
                <w:bCs w:val="1"/>
              </w:rPr>
            </w:pPr>
            <w:r w:rsidDel="00000000" w:rsidR="00000000" w:rsidRPr="00000000">
              <w:rPr>
                <w:b w:val="1"/>
                <w:bCs w:val="1"/>
                <w:rtl w:val="0"/>
              </w:rPr>
              <w:t xml:space="preserve">Functional Requirement (Epic)</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Sub Requirement (Story / Sub-Task)</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Priority (High/Medium/Low)</w:t>
            </w:r>
          </w:p>
        </w:tc>
      </w:tr>
      <w:tr>
        <w:trPr>
          <w:cantSplit w:val="0"/>
          <w:trHeight w:val="489" w:hRule="atLeast"/>
          <w:tblHeader w:val="0"/>
        </w:trPr>
        <w:tc>
          <w:tcPr/>
          <w:p w:rsidR="00000000" w:rsidDel="00000000" w:rsidP="00000000" w:rsidRDefault="00000000" w:rsidRPr="00000000" w14:paraId="00000012">
            <w:pPr>
              <w:rPr/>
            </w:pPr>
            <w:r w:rsidDel="00000000" w:rsidR="00000000" w:rsidRPr="00000000">
              <w:rPr>
                <w:rtl w:val="0"/>
              </w:rPr>
              <w:t xml:space="preserve">1</w:t>
            </w:r>
          </w:p>
        </w:tc>
        <w:tc>
          <w:tcPr/>
          <w:p w:rsidR="00000000" w:rsidDel="00000000" w:rsidP="00000000" w:rsidRDefault="00000000" w:rsidRPr="00000000" w14:paraId="00000013">
            <w:pPr>
              <w:rPr/>
            </w:pPr>
            <w:r w:rsidDel="00000000" w:rsidR="00000000" w:rsidRPr="00000000">
              <w:rPr>
                <w:rtl w:val="0"/>
              </w:rPr>
              <w:t xml:space="preserve">Data Access &amp; Integration </w:t>
            </w:r>
          </w:p>
        </w:tc>
        <w:tc>
          <w:tcPr/>
          <w:p w:rsidR="00000000" w:rsidDel="00000000" w:rsidP="00000000" w:rsidRDefault="00000000" w:rsidRPr="00000000" w14:paraId="00000014">
            <w:pPr>
              <w:rPr/>
            </w:pPr>
            <w:r w:rsidDel="00000000" w:rsidR="00000000" w:rsidRPr="00000000">
              <w:rPr>
                <w:i w:val="0"/>
                <w:rtl w:val="0"/>
              </w:rPr>
              <w:t>Connect Tableau Desktop to the EV market dataset (Excel/CSV) covering vehicle category, manufacturer, battery type, annual sales, price, range, charging, efficiency, customer rating, CO2 saved and model year.</w:t>
            </w:r>
          </w:p>
        </w:tc>
        <w:tc>
          <w:tcPr/>
          <w:p w:rsidR="00000000" w:rsidDel="00000000" w:rsidP="00000000" w:rsidRDefault="00000000" w:rsidRPr="00000000" w14:paraId="00000015">
            <w:pPr>
              <w:rPr/>
            </w:pPr>
            <w:r w:rsidDel="00000000" w:rsidR="00000000" w:rsidRPr="00000000">
              <w:rPr>
                <w:rtl w:val="0"/>
              </w:rPr>
              <w:t>High</w:t>
            </w:r>
          </w:p>
        </w:tc>
      </w:tr>
      <w:tr>
        <w:trPr>
          <w:cantSplit w:val="0"/>
          <w:trHeight w:val="489" w:hRule="atLeast"/>
          <w:tblHeader w:val="0"/>
        </w:trPr>
        <w:tc>
          <w:tcPr/>
          <w:p w:rsidR="00000000" w:rsidDel="00000000" w:rsidP="00000000" w:rsidRDefault="00000000" w:rsidRPr="00000000" w14:paraId="00000016">
            <w:pPr>
              <w:rPr/>
            </w:pPr>
            <w:r w:rsidDel="00000000" w:rsidR="00000000" w:rsidRPr="00000000">
              <w:rPr>
                <w:rtl w:val="0"/>
              </w:rPr>
              <w:t xml:space="preserve">2</w:t>
            </w:r>
          </w:p>
        </w:tc>
        <w:tc>
          <w:tcPr/>
          <w:p w:rsidR="00000000" w:rsidDel="00000000" w:rsidP="00000000" w:rsidRDefault="00000000" w:rsidRPr="00000000" w14:paraId="00000017">
            <w:pPr>
              <w:rPr/>
            </w:pPr>
            <w:r w:rsidDel="00000000" w:rsidR="00000000" w:rsidRPr="00000000">
              <w:rPr>
                <w:rtl w:val="0"/>
              </w:rPr>
              <w:t xml:space="preserve">Data Processing </w:t>
            </w:r>
          </w:p>
        </w:tc>
        <w:tc>
          <w:tcPr/>
          <w:p w:rsidR="00000000" w:rsidDel="00000000" w:rsidP="00000000" w:rsidRDefault="00000000" w:rsidRPr="00000000" w14:paraId="00000018">
            <w:pPr>
              <w:rPr/>
            </w:pPr>
            <w:r w:rsidDel="00000000" w:rsidR="00000000" w:rsidRPr="00000000">
              <w:rPr>
                <w:i w:val="0"/>
                <w:rtl w:val="0"/>
              </w:rPr>
              <w:t>Clean and validate the data (remove duplicates and nulls, standardise category and manufacturer names, set correct data types) and prepare fields for aggregation.</w:t>
            </w:r>
          </w:p>
        </w:tc>
        <w:tc>
          <w:tcPr/>
          <w:p w:rsidR="00000000" w:rsidDel="00000000" w:rsidP="00000000" w:rsidRDefault="00000000" w:rsidRPr="00000000" w14:paraId="00000019">
            <w:pPr>
              <w:rPr/>
            </w:pPr>
            <w:r w:rsidDel="00000000" w:rsidR="00000000" w:rsidRPr="00000000">
              <w:rPr>
                <w:rtl w:val="0"/>
              </w:rPr>
              <w:t>High</w:t>
            </w:r>
          </w:p>
        </w:tc>
      </w:tr>
      <w:tr>
        <w:trPr>
          <w:cantSplit w:val="0"/>
          <w:trHeight w:val="760.6640625" w:hRule="atLeast"/>
          <w:tblHeader w:val="0"/>
        </w:trPr>
        <w:tc>
          <w:tcPr/>
          <w:p w:rsidR="00000000" w:rsidDel="00000000" w:rsidP="00000000" w:rsidRDefault="00000000" w:rsidRPr="00000000" w14:paraId="0000001A">
            <w:pPr>
              <w:rPr/>
            </w:pPr>
            <w:r w:rsidDel="00000000" w:rsidR="00000000" w:rsidRPr="00000000">
              <w:rPr>
                <w:rtl w:val="0"/>
              </w:rPr>
              <w:t xml:space="preserve">3</w:t>
            </w:r>
          </w:p>
        </w:tc>
        <w:tc>
          <w:tcPr/>
          <w:p w:rsidR="00000000" w:rsidDel="00000000" w:rsidP="00000000" w:rsidRDefault="00000000" w:rsidRPr="00000000" w14:paraId="0000001B">
            <w:pPr>
              <w:rPr/>
            </w:pPr>
            <w:r w:rsidDel="00000000" w:rsidR="00000000" w:rsidRPr="00000000">
              <w:rPr>
                <w:rtl w:val="0"/>
              </w:rPr>
              <w:t xml:space="preserve">Business Analysis </w:t>
            </w:r>
          </w:p>
        </w:tc>
        <w:tc>
          <w:tcPr/>
          <w:p w:rsidR="00000000" w:rsidDel="00000000" w:rsidP="00000000" w:rsidRDefault="00000000" w:rsidRPr="00000000" w14:paraId="0000001C">
            <w:pPr>
              <w:rPr/>
            </w:pPr>
            <w:r w:rsidDel="00000000" w:rsidR="00000000" w:rsidRPr="00000000">
              <w:rPr>
                <w:i w:val="0"/>
                <w:rtl w:val="0"/>
              </w:rPr>
              <w:t>Calculate KPIs: annual sales units, average price, average range, average customer rating, charging times, battery degradation, efficiency (Wh/km), acceleration and CO2 saved; rank the top 15 manufacturers by sales.</w:t>
            </w:r>
          </w:p>
        </w:tc>
        <w:tc>
          <w:tcPr/>
          <w:p w:rsidR="00000000" w:rsidDel="00000000" w:rsidP="00000000" w:rsidRDefault="00000000" w:rsidRPr="00000000" w14:paraId="0000001D">
            <w:pPr>
              <w:rPr/>
            </w:pPr>
            <w:r w:rsidDel="00000000" w:rsidR="00000000" w:rsidRPr="00000000">
              <w:rPr>
                <w:rtl w:val="0"/>
              </w:rPr>
              <w:t>High</w:t>
            </w:r>
          </w:p>
        </w:tc>
      </w:tr>
      <w:tr>
        <w:trPr>
          <w:cantSplit w:val="0"/>
          <w:trHeight w:val="489" w:hRule="atLeast"/>
          <w:tblHeader w:val="0"/>
        </w:trPr>
        <w:tc>
          <w:tcPr/>
          <w:p w:rsidR="00000000" w:rsidDel="00000000" w:rsidP="00000000" w:rsidRDefault="00000000" w:rsidRPr="00000000" w14:paraId="0000001E">
            <w:pPr>
              <w:rPr/>
            </w:pPr>
            <w:r w:rsidDel="00000000" w:rsidR="00000000" w:rsidRPr="00000000">
              <w:rPr>
                <w:rtl w:val="0"/>
              </w:rPr>
              <w:t xml:space="preserve">4</w:t>
            </w:r>
          </w:p>
        </w:tc>
        <w:tc>
          <w:tcPr/>
          <w:p w:rsidR="00000000" w:rsidDel="00000000" w:rsidP="00000000" w:rsidRDefault="00000000" w:rsidRPr="00000000" w14:paraId="0000001F">
            <w:pPr>
              <w:rPr/>
            </w:pPr>
            <w:r w:rsidDel="00000000" w:rsidR="00000000" w:rsidRPr="00000000">
              <w:rPr>
                <w:rtl w:val="0"/>
              </w:rPr>
              <w:t xml:space="preserve">Business Insights &amp; Analytical Outputs</w:t>
            </w:r>
          </w:p>
        </w:tc>
        <w:tc>
          <w:tcPr/>
          <w:p w:rsidR="00000000" w:rsidDel="00000000" w:rsidP="00000000" w:rsidRDefault="00000000" w:rsidRPr="00000000" w14:paraId="00000020">
            <w:pPr>
              <w:rPr/>
            </w:pPr>
            <w:r w:rsidDel="00000000" w:rsidR="00000000" w:rsidRPr="00000000">
              <w:rPr>
                <w:i w:val="0"/>
                <w:rtl w:val="0"/>
              </w:rPr>
              <w:t>Provide two dashboards with sales and price by category, top manufacturers with ratings, battery type adoption, price vs range, range by model year, charging time, efficiency by use case and degradation vs DC charging power.</w:t>
            </w:r>
          </w:p>
        </w:tc>
        <w:tc>
          <w:tcPr/>
          <w:p w:rsidR="00000000" w:rsidDel="00000000" w:rsidP="00000000" w:rsidRDefault="00000000" w:rsidRPr="00000000" w14:paraId="00000021">
            <w:pPr>
              <w:rPr/>
            </w:pPr>
            <w:r w:rsidDel="00000000" w:rsidR="00000000" w:rsidRPr="00000000">
              <w:rPr>
                <w:rtl w:val="0"/>
              </w:rPr>
              <w:t>High</w:t>
            </w:r>
          </w:p>
        </w:tc>
      </w:tr>
      <w:tr>
        <w:trPr>
          <w:cantSplit w:val="0"/>
          <w:trHeight w:val="489" w:hRule="atLeast"/>
          <w:tblHeader w:val="0"/>
        </w:trPr>
        <w:tc>
          <w:tcPr/>
          <w:p w:rsidR="00000000" w:rsidDel="00000000" w:rsidP="00000000" w:rsidRDefault="00000000" w:rsidRPr="00000000" w14:paraId="00000022">
            <w:pPr>
              <w:rPr/>
            </w:pPr>
            <w:r w:rsidDel="00000000" w:rsidR="00000000" w:rsidRPr="00000000">
              <w:rPr>
                <w:rtl w:val="0"/>
              </w:rPr>
              <w:t xml:space="preserve">5</w:t>
            </w:r>
          </w:p>
        </w:tc>
        <w:tc>
          <w:tcPr/>
          <w:p w:rsidR="00000000" w:rsidDel="00000000" w:rsidP="00000000" w:rsidRDefault="00000000" w:rsidRPr="00000000" w14:paraId="00000023">
            <w:pPr>
              <w:rPr/>
            </w:pPr>
            <w:r w:rsidDel="00000000" w:rsidR="00000000" w:rsidRPr="00000000">
              <w:rPr>
                <w:rtl w:val="0"/>
              </w:rPr>
              <w:t xml:space="preserve">User Interaction &amp; Analysis </w:t>
            </w:r>
          </w:p>
        </w:tc>
        <w:tc>
          <w:tcPr/>
          <w:p w:rsidR="00000000" w:rsidDel="00000000" w:rsidP="00000000" w:rsidRDefault="00000000" w:rsidRPr="00000000" w14:paraId="00000024">
            <w:pPr>
              <w:rPr/>
            </w:pPr>
            <w:r w:rsidDel="00000000" w:rsidR="00000000" w:rsidRPr="00000000">
              <w:rPr>
                <w:i w:val="0"/>
                <w:rtl w:val="0"/>
              </w:rPr>
              <w:t>Let users filter by manufacturer, category and battery type, use tooltips and highlighting to compare segments, and drill down from category to manufacturer level.</w:t>
            </w:r>
          </w:p>
        </w:tc>
        <w:tc>
          <w:tcPr/>
          <w:p w:rsidR="00000000" w:rsidDel="00000000" w:rsidP="00000000" w:rsidRDefault="00000000" w:rsidRPr="00000000" w14:paraId="00000025">
            <w:pPr>
              <w:rPr/>
            </w:pPr>
            <w:r w:rsidDel="00000000" w:rsidR="00000000" w:rsidRPr="00000000">
              <w:rPr>
                <w:rtl w:val="0"/>
              </w:rPr>
              <w:t>Medium</w:t>
            </w:r>
          </w:p>
        </w:tc>
      </w:tr>
      <w:tr>
        <w:trPr>
          <w:cantSplit w:val="0"/>
          <w:trHeight w:val="489" w:hRule="atLeast"/>
          <w:tblHeader w:val="0"/>
        </w:trPr>
        <w:tc>
          <w:tcPr/>
          <w:p w:rsidR="00000000" w:rsidDel="00000000" w:rsidP="00000000" w:rsidRDefault="00000000" w:rsidRPr="00000000" w14:paraId="00000026">
            <w:pPr>
              <w:rPr/>
            </w:pPr>
            <w:r w:rsidDel="00000000" w:rsidR="00000000" w:rsidRPr="00000000">
              <w:rPr>
                <w:rtl w:val="0"/>
              </w:rPr>
              <w:t xml:space="preserve">6</w:t>
            </w:r>
          </w:p>
        </w:tc>
        <w:tc>
          <w:tcPr/>
          <w:p w:rsidR="00000000" w:rsidDel="00000000" w:rsidP="00000000" w:rsidRDefault="00000000" w:rsidRPr="00000000" w14:paraId="00000027">
            <w:pPr>
              <w:rPr>
                <w:color w:val="222222"/>
              </w:rPr>
            </w:pPr>
            <w:r w:rsidDel="00000000" w:rsidR="00000000" w:rsidRPr="00000000">
              <w:rPr>
                <w:color w:val="222222"/>
                <w:rtl w:val="0"/>
              </w:rPr>
              <w:t xml:space="preserve">Data Update &amp; Reporting </w:t>
            </w:r>
          </w:p>
        </w:tc>
        <w:tc>
          <w:tcPr/>
          <w:p w:rsidR="00000000" w:rsidDel="00000000" w:rsidP="00000000" w:rsidRDefault="00000000" w:rsidRPr="00000000" w14:paraId="00000028">
            <w:pPr>
              <w:rPr/>
            </w:pPr>
            <w:r w:rsidDel="00000000" w:rsidR="00000000" w:rsidRPr="00000000">
              <w:rPr>
                <w:i w:val="0"/>
                <w:rtl w:val="0"/>
              </w:rPr>
              <w:t>Refresh the data source when a new dataset is available so all sheets update, and publish the dashboards (Tableau Public) or export them as PDF/image for reporting.</w:t>
            </w:r>
          </w:p>
        </w:tc>
        <w:tc>
          <w:tcPr/>
          <w:p w:rsidR="00000000" w:rsidDel="00000000" w:rsidP="00000000" w:rsidRDefault="00000000" w:rsidRPr="00000000" w14:paraId="00000029">
            <w:pPr>
              <w:rPr/>
            </w:pPr>
            <w:r w:rsidDel="00000000" w:rsidR="00000000" w:rsidRPr="00000000">
              <w:rPr>
                <w:rtl w:val="0"/>
              </w:rPr>
              <w:t>Medium</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C">
      <w:pPr>
        <w:spacing w:after="0" w:lineRule="auto"/>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p w:rsidR="00000000" w:rsidDel="00000000" w:rsidP="00000000" w:rsidRDefault="00000000" w:rsidRPr="00000000" w14:paraId="0000002D">
            <w:pPr>
              <w:rPr>
                <w:b w:val="1"/>
                <w:bCs w:val="1"/>
              </w:rPr>
            </w:pPr>
            <w:r w:rsidDel="00000000" w:rsidR="00000000" w:rsidRPr="00000000">
              <w:rPr>
                <w:b w:val="1"/>
                <w:bCs w:val="1"/>
                <w:rtl w:val="0"/>
              </w:rPr>
              <w:t xml:space="preserve">FR No.</w:t>
            </w:r>
          </w:p>
        </w:tc>
        <w:tc>
          <w:tcPr/>
          <w:p w:rsidR="00000000" w:rsidDel="00000000" w:rsidP="00000000" w:rsidRDefault="00000000" w:rsidRPr="00000000" w14:paraId="0000002E">
            <w:pPr>
              <w:rPr>
                <w:b w:val="1"/>
                <w:bCs w:val="1"/>
              </w:rPr>
            </w:pPr>
            <w:r w:rsidDel="00000000" w:rsidR="00000000" w:rsidRPr="00000000">
              <w:rPr>
                <w:b w:val="1"/>
                <w:bCs w:val="1"/>
                <w:rtl w:val="0"/>
              </w:rPr>
              <w:t xml:space="preserve">Non-Functional Requirement</w:t>
            </w:r>
          </w:p>
        </w:tc>
        <w:tc>
          <w:tcPr/>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tc>
      </w:tr>
      <w:tr>
        <w:trPr>
          <w:cantSplit w:val="0"/>
          <w:trHeight w:val="489" w:hRule="atLeast"/>
          <w:tblHeader w:val="0"/>
        </w:trPr>
        <w:tc>
          <w:tcPr/>
          <w:p w:rsidR="00000000" w:rsidDel="00000000" w:rsidP="00000000" w:rsidRDefault="00000000" w:rsidRPr="00000000" w14:paraId="00000030">
            <w:pPr>
              <w:rPr/>
            </w:pPr>
            <w:r w:rsidDel="00000000" w:rsidR="00000000" w:rsidRPr="00000000">
              <w:rPr>
                <w:rtl w:val="0"/>
              </w:rPr>
              <w:t xml:space="preserve">NFR-1</w:t>
            </w:r>
          </w:p>
        </w:tc>
        <w:tc>
          <w:tcPr/>
          <w:p w:rsidR="00000000" w:rsidDel="00000000" w:rsidP="00000000" w:rsidRDefault="00000000" w:rsidRPr="00000000" w14:paraId="00000031">
            <w:pPr>
              <w:rPr/>
            </w:pPr>
            <w:r w:rsidDel="00000000" w:rsidR="00000000" w:rsidRPr="00000000">
              <w:rPr>
                <w:b w:val="1"/>
                <w:bCs w:val="1"/>
                <w:rtl w:val="0"/>
              </w:rPr>
              <w:t xml:space="preserve">Usability</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Dashboards use clear titles, consistent colour legends and labelled axes so executives and analysts can read insights without training; filters are easy to find and use.</w:t>
            </w:r>
          </w:p>
        </w:tc>
      </w:tr>
      <w:tr>
        <w:trPr>
          <w:cantSplit w:val="0"/>
          <w:trHeight w:val="489" w:hRule="atLeast"/>
          <w:tblHeader w:val="0"/>
        </w:trPr>
        <w:tc>
          <w:tcPr/>
          <w:p w:rsidR="00000000" w:rsidDel="00000000" w:rsidP="00000000" w:rsidRDefault="00000000" w:rsidRPr="00000000" w14:paraId="00000033">
            <w:pPr>
              <w:rPr/>
            </w:pPr>
            <w:r w:rsidDel="00000000" w:rsidR="00000000" w:rsidRPr="00000000">
              <w:rPr>
                <w:rtl w:val="0"/>
              </w:rPr>
              <w:t xml:space="preserve">NFR-2</w:t>
            </w:r>
          </w:p>
        </w:tc>
        <w:tc>
          <w:tcPr/>
          <w:p w:rsidR="00000000" w:rsidDel="00000000" w:rsidP="00000000" w:rsidRDefault="00000000" w:rsidRPr="00000000" w14:paraId="00000034">
            <w:pPr>
              <w:rPr/>
            </w:pPr>
            <w:r w:rsidDel="00000000" w:rsidR="00000000" w:rsidRPr="00000000">
              <w:rPr>
                <w:b w:val="1"/>
                <w:bCs w:val="1"/>
                <w:rtl w:val="0"/>
              </w:rPr>
              <w:t xml:space="preserve">Security</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The dataset holds only market-level, non-personal data. Only the owner can edit the workbook, and shared dashboards contain no confidential or personal information.</w:t>
            </w:r>
          </w:p>
        </w:tc>
      </w:tr>
      <w:tr>
        <w:trPr>
          <w:cantSplit w:val="0"/>
          <w:trHeight w:val="470" w:hRule="atLeast"/>
          <w:tblHeader w:val="0"/>
        </w:trPr>
        <w:tc>
          <w:tcPr/>
          <w:p w:rsidR="00000000" w:rsidDel="00000000" w:rsidP="00000000" w:rsidRDefault="00000000" w:rsidRPr="00000000" w14:paraId="00000036">
            <w:pPr>
              <w:rPr/>
            </w:pPr>
            <w:r w:rsidDel="00000000" w:rsidR="00000000" w:rsidRPr="00000000">
              <w:rPr>
                <w:rtl w:val="0"/>
              </w:rPr>
              <w:t xml:space="preserve">NFR-3</w:t>
            </w:r>
          </w:p>
        </w:tc>
        <w:tc>
          <w:tcPr/>
          <w:p w:rsidR="00000000" w:rsidDel="00000000" w:rsidP="00000000" w:rsidRDefault="00000000" w:rsidRPr="00000000" w14:paraId="00000037">
            <w:pPr>
              <w:rPr/>
            </w:pPr>
            <w:r w:rsidDel="00000000" w:rsidR="00000000" w:rsidRPr="00000000">
              <w:rPr>
                <w:b w:val="1"/>
                <w:bCs w:val="1"/>
                <w:rtl w:val="0"/>
              </w:rPr>
              <w:t xml:space="preserve">Reliability</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The same data always produces the same results; calculated fields and KPIs are checked against the source records to keep figures accurate.</w:t>
            </w:r>
          </w:p>
        </w:tc>
      </w:tr>
      <w:tr>
        <w:trPr>
          <w:cantSplit w:val="0"/>
          <w:trHeight w:val="489" w:hRule="atLeast"/>
          <w:tblHeader w:val="0"/>
        </w:trPr>
        <w:tc>
          <w:tcPr/>
          <w:p w:rsidR="00000000" w:rsidDel="00000000" w:rsidP="00000000" w:rsidRDefault="00000000" w:rsidRPr="00000000" w14:paraId="00000039">
            <w:pPr>
              <w:rPr/>
            </w:pPr>
            <w:r w:rsidDel="00000000" w:rsidR="00000000" w:rsidRPr="00000000">
              <w:rPr>
                <w:rtl w:val="0"/>
              </w:rPr>
              <w:t xml:space="preserve">NFR-4</w:t>
            </w:r>
          </w:p>
        </w:tc>
        <w:tc>
          <w:tcPr/>
          <w:p w:rsidR="00000000" w:rsidDel="00000000" w:rsidP="00000000" w:rsidRDefault="00000000" w:rsidRPr="00000000" w14:paraId="0000003A">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Dashboards open and respond to filters within a few seconds by using aggregated data and extracts across the 9 sheets and 2 dashboards.</w:t>
            </w:r>
          </w:p>
        </w:tc>
      </w:tr>
      <w:tr>
        <w:trPr>
          <w:cantSplit w:val="0"/>
          <w:trHeight w:val="489" w:hRule="atLeast"/>
          <w:tblHeader w:val="0"/>
        </w:trPr>
        <w:tc>
          <w:tcPr/>
          <w:p w:rsidR="00000000" w:rsidDel="00000000" w:rsidP="00000000" w:rsidRDefault="00000000" w:rsidRPr="00000000" w14:paraId="0000003C">
            <w:pPr>
              <w:rPr/>
            </w:pPr>
            <w:r w:rsidDel="00000000" w:rsidR="00000000" w:rsidRPr="00000000">
              <w:rPr>
                <w:rtl w:val="0"/>
              </w:rPr>
              <w:t xml:space="preserve">NFR-5</w:t>
            </w:r>
          </w:p>
        </w:tc>
        <w:tc>
          <w:tcPr/>
          <w:p w:rsidR="00000000" w:rsidDel="00000000" w:rsidP="00000000" w:rsidRDefault="00000000" w:rsidRPr="00000000" w14:paraId="0000003D">
            <w:pPr>
              <w:rPr/>
            </w:pPr>
            <w:r w:rsidDel="00000000" w:rsidR="00000000" w:rsidRPr="00000000">
              <w:rPr>
                <w:b w:val="1"/>
                <w:bCs w:val="1"/>
                <w:rtl w:val="0"/>
              </w:rPr>
              <w:t xml:space="preserve">Availability</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Dashboards are shared through Tableau Public so they can be opened in a web browser at any time without installing software.</w:t>
            </w:r>
          </w:p>
        </w:tc>
      </w:tr>
      <w:tr>
        <w:trPr>
          <w:cantSplit w:val="0"/>
          <w:trHeight w:val="489" w:hRule="atLeast"/>
          <w:tblHeader w:val="0"/>
        </w:trPr>
        <w:tc>
          <w:tcPr/>
          <w:p w:rsidR="00000000" w:rsidDel="00000000" w:rsidP="00000000" w:rsidRDefault="00000000" w:rsidRPr="00000000" w14:paraId="0000003F">
            <w:pPr>
              <w:rPr/>
            </w:pPr>
            <w:r w:rsidDel="00000000" w:rsidR="00000000" w:rsidRPr="00000000">
              <w:rPr>
                <w:rtl w:val="0"/>
              </w:rPr>
              <w:t xml:space="preserve">NFR-6</w:t>
            </w:r>
          </w:p>
        </w:tc>
        <w:tc>
          <w:tcPr/>
          <w:p w:rsidR="00000000" w:rsidDel="00000000" w:rsidP="00000000" w:rsidRDefault="00000000" w:rsidRPr="00000000" w14:paraId="00000040">
            <w:pPr>
              <w:rPr>
                <w:color w:val="222222"/>
              </w:rPr>
            </w:pPr>
            <w:r w:rsidDel="00000000" w:rsidR="00000000" w:rsidRPr="00000000">
              <w:rPr>
                <w:b w:val="1"/>
                <w:bCs w:val="1"/>
                <w:color w:val="222222"/>
                <w:rtl w:val="0"/>
              </w:rPr>
              <w:t xml:space="preserve">Scalability</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More manufacturers, categories, model years and records can be added by refreshing the data extract, and new sheets can be added without redesigning existing dashboards.</w:t>
            </w:r>
          </w:p>
        </w:tc>
      </w:tr>
    </w:tbl>
    <w:p w:rsidR="00000000" w:rsidDel="00000000" w:rsidP="00000000" w:rsidRDefault="00000000" w:rsidRPr="00000000" w14:paraId="00000042">
      <w:pPr>
        <w:rPr/>
      </w:pPr>
      <w:r w:rsidDel="00000000" w:rsidR="00000000" w:rsidRPr="00000000">
        <w:rPr>
          <w:rtl w:val="0"/>
        </w:rPr>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6534150</wp:posOffset>
          </wp:positionH>
          <wp:positionV relativeFrom="page">
            <wp:posOffset>173355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