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Calibri" w:cs="Calibri" w:eastAsia="Calibri" w:hAnsi="Calibri"/>
          <w:b/>
          <w:bCs/>
          <w:sz w:val="24"/>
          <w:szCs w:val="24"/>
        </w:rPr>
        <w:t xml:space="preserve">Project Design Phase-I</w:t>
      </w:r>
    </w:p>
    <w:p>
      <w:pPr>
        <w:spacing w:after="80" w:before="120"/>
        <w:jc w:val="center"/>
      </w:pPr>
      <w:r>
        <w:rPr>
          <w:rFonts w:ascii="Calibri" w:cs="Calibri" w:eastAsia="Calibri" w:hAnsi="Calibri"/>
          <w:b/>
          <w:bCs/>
          <w:sz w:val="24"/>
          <w:szCs w:val="24"/>
        </w:rPr>
        <w:t xml:space="preserve">Problem – Solution Fit</w:t>
      </w:r>
    </w:p>
    <w:p>
      <w:pPr>
        <w:spacing w:after="80" w:before="60"/>
      </w:pPr>
      <w:r>
        <w:rPr>
          <w:rFonts w:ascii="Calibri" w:cs="Calibri" w:eastAsia="Calibri" w:hAnsi="Calibri"/>
          <w:b w:val="false"/>
          <w:bCs w:val="false"/>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Date</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28 October 2026</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Team ID</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xxxxxx</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Project Name</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Electric Vehicle Market Analysis Dashboard using Tableau</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Maximum Marks</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2 Marks</w:t>
            </w:r>
          </w:p>
        </w:tc>
      </w:tr>
    </w:tbl>
    <w:p>
      <w:pPr>
        <w:spacing w:after="80" w:before="240"/>
      </w:pPr>
      <w:r>
        <w:rPr>
          <w:rFonts w:ascii="Calibri" w:cs="Calibri" w:eastAsia="Calibri" w:hAnsi="Calibri"/>
          <w:b/>
          <w:bCs/>
          <w:sz w:val="22"/>
          <w:szCs w:val="22"/>
        </w:rPr>
        <w:t xml:space="preserve">Problem – Solution Fit:</w:t>
      </w:r>
    </w:p>
    <w:p>
      <w:pPr>
        <w:spacing w:after="80" w:before="120"/>
      </w:pPr>
      <w:r>
        <w:rPr>
          <w:rFonts w:ascii="Calibri" w:cs="Calibri" w:eastAsia="Calibri" w:hAnsi="Calibri"/>
          <w:b w:val="false"/>
          <w:bCs w:val="false"/>
          <w:sz w:val="22"/>
          <w:szCs w:val="22"/>
        </w:rPr>
        <w:t xml:space="preserve">The Problem-Solution Fit is achieved when it is confirmed that the solution being built addresses a real problem faced by a defined set of customers. It helps to understand the customer, their constraints and behaviour, so the dashboard is built around what users truly need and is more likely to be adopted.</w:t>
      </w:r>
    </w:p>
    <w:p>
      <w:pPr>
        <w:spacing w:after="80" w:before="120"/>
      </w:pPr>
      <w:r>
        <w:rPr>
          <w:rFonts w:ascii="Calibri" w:cs="Calibri" w:eastAsia="Calibri" w:hAnsi="Calibri"/>
          <w:b/>
          <w:bCs/>
          <w:sz w:val="22"/>
          <w:szCs w:val="22"/>
        </w:rPr>
        <w:t xml:space="preserve">Purpose:</w:t>
      </w:r>
    </w:p>
    <w:p>
      <w:pPr>
        <w:spacing w:after="80" w:before="120"/>
      </w:pPr>
      <w:r>
        <w:rPr>
          <w:rFonts w:ascii="Calibri" w:cs="Calibri" w:eastAsia="Calibri" w:hAnsi="Calibri"/>
          <w:b w:val="false"/>
          <w:bCs w:val="false"/>
          <w:sz w:val="22"/>
          <w:szCs w:val="22"/>
        </w:rPr>
        <w:t xml:space="preserve">To solve the problem of understanding the EV market by turning scattered sales, battery, pricing and rating data into interactive visual insights; to sharpen the understanding of the target customers; to succeed faster by aligning the dashboard with real decision needs; and to increase the chance of adoption by stakeholders.</w:t>
      </w:r>
    </w:p>
    <w:p>
      <w:pPr>
        <w:spacing w:after="80" w:before="200"/>
      </w:pPr>
      <w:r>
        <w:rPr>
          <w:rFonts w:ascii="Calibri" w:cs="Calibri" w:eastAsia="Calibri" w:hAnsi="Calibri"/>
          <w:b/>
          <w:bCs/>
          <w:sz w:val="22"/>
          <w:szCs w:val="22"/>
        </w:rPr>
        <w:t xml:space="preserve">Problem – Solution Fit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000000" w:sz="6"/>
              <w:left w:val="single" w:color="000000" w:sz="6"/>
              <w:bottom w:val="single" w:color="000000" w:sz="6"/>
              <w:right w:val="single" w:color="000000" w:sz="6"/>
            </w:tcBorders>
            <w:shd w:fill="D9E2F3"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Canvas Section</w:t>
            </w:r>
          </w:p>
        </w:tc>
        <w:tc>
          <w:tcPr>
            <w:tcW w:type="dxa" w:w="6000"/>
            <w:tcBorders>
              <w:top w:val="single" w:color="000000" w:sz="6"/>
              <w:left w:val="single" w:color="000000" w:sz="6"/>
              <w:bottom w:val="single" w:color="000000" w:sz="6"/>
              <w:right w:val="single" w:color="000000" w:sz="6"/>
            </w:tcBorders>
            <w:shd w:fill="D9E2F3"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Description (EV Market Analysis Dashboard)</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1. Customer Segment(s)</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Market Strategy Directors of EV manufacturers (e.g., Emily Johnson).</w:t>
            </w:r>
          </w:p>
          <w:p>
            <w:pPr>
              <w:spacing w:after="40"/>
            </w:pPr>
            <w:r>
              <w:rPr>
                <w:rFonts w:ascii="Calibri" w:cs="Calibri" w:eastAsia="Calibri" w:hAnsi="Calibri"/>
                <w:b w:val="false"/>
                <w:bCs w:val="false"/>
                <w:sz w:val="21"/>
                <w:szCs w:val="21"/>
              </w:rPr>
              <w:t xml:space="preserve">Business Intelligence / automotive consultants advising clients entering the EV market (e.g., David Chen).</w:t>
            </w:r>
          </w:p>
          <w:p>
            <w:pPr>
              <w:spacing w:after="40"/>
            </w:pPr>
            <w:r>
              <w:rPr>
                <w:rFonts w:ascii="Calibri" w:cs="Calibri" w:eastAsia="Calibri" w:hAnsi="Calibri"/>
                <w:b w:val="false"/>
                <w:bCs w:val="false"/>
                <w:sz w:val="21"/>
                <w:szCs w:val="21"/>
              </w:rPr>
              <w:t xml:space="preserve">Sustainable mobility researchers and policymakers (e.g., Dr. Sarah Williams).</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2. Jobs-to-be-done / Problems</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Find which vehicle categories and manufacturers contribute most to annual sales.</w:t>
            </w:r>
          </w:p>
          <w:p>
            <w:pPr>
              <w:spacing w:after="40"/>
            </w:pPr>
            <w:r>
              <w:rPr>
                <w:rFonts w:ascii="Calibri" w:cs="Calibri" w:eastAsia="Calibri" w:hAnsi="Calibri"/>
                <w:b w:val="false"/>
                <w:bCs w:val="false"/>
                <w:sz w:val="21"/>
                <w:szCs w:val="21"/>
              </w:rPr>
              <w:t xml:space="preserve">Compare battery technologies (LFP, NMC, NCA, Sodium-Ion, Solid-State) on range, charging time and degradation.</w:t>
            </w:r>
          </w:p>
          <w:p>
            <w:pPr>
              <w:spacing w:after="40"/>
            </w:pPr>
            <w:r>
              <w:rPr>
                <w:rFonts w:ascii="Calibri" w:cs="Calibri" w:eastAsia="Calibri" w:hAnsi="Calibri"/>
                <w:b w:val="false"/>
                <w:bCs w:val="false"/>
                <w:sz w:val="21"/>
                <w:szCs w:val="21"/>
              </w:rPr>
              <w:t xml:space="preserve">Evaluate customer satisfaction and identify high-growth segments.</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3. Triggers</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Rapid growth of the EV market and rising competition among manufacturers.</w:t>
            </w:r>
          </w:p>
          <w:p>
            <w:pPr>
              <w:spacing w:after="40"/>
            </w:pPr>
            <w:r>
              <w:rPr>
                <w:rFonts w:ascii="Calibri" w:cs="Calibri" w:eastAsia="Calibri" w:hAnsi="Calibri"/>
                <w:b w:val="false"/>
                <w:bCs w:val="false"/>
                <w:sz w:val="21"/>
                <w:szCs w:val="21"/>
              </w:rPr>
              <w:t xml:space="preserve">Need to make product-portfolio, investment and market-expansion decisions quickly.</w:t>
            </w:r>
          </w:p>
          <w:p>
            <w:pPr>
              <w:spacing w:after="40"/>
            </w:pPr>
            <w:r>
              <w:rPr>
                <w:rFonts w:ascii="Calibri" w:cs="Calibri" w:eastAsia="Calibri" w:hAnsi="Calibri"/>
                <w:b w:val="false"/>
                <w:bCs w:val="false"/>
                <w:sz w:val="21"/>
                <w:szCs w:val="21"/>
              </w:rPr>
              <w:t xml:space="preserve">Government incentives and carbon-reduction targets increasing pressure for evidence-based planning.</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4. Emotions: Before / After</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Before: overwhelmed by scattered data, uncertain, unconfident in decisions.</w:t>
            </w:r>
          </w:p>
          <w:p>
            <w:pPr>
              <w:spacing w:after="40"/>
            </w:pPr>
            <w:r>
              <w:rPr>
                <w:rFonts w:ascii="Calibri" w:cs="Calibri" w:eastAsia="Calibri" w:hAnsi="Calibri"/>
                <w:b w:val="false"/>
                <w:bCs w:val="false"/>
                <w:sz w:val="21"/>
                <w:szCs w:val="21"/>
              </w:rPr>
              <w:t xml:space="preserve">After: informed, confident and in control, with clear visual insights in one place.</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5. Available Solutions</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Static Excel sheets and manual reports.</w:t>
            </w:r>
          </w:p>
          <w:p>
            <w:pPr>
              <w:spacing w:after="40"/>
            </w:pPr>
            <w:r>
              <w:rPr>
                <w:rFonts w:ascii="Calibri" w:cs="Calibri" w:eastAsia="Calibri" w:hAnsi="Calibri"/>
                <w:b w:val="false"/>
                <w:bCs w:val="false"/>
                <w:sz w:val="21"/>
                <w:szCs w:val="21"/>
              </w:rPr>
              <w:t xml:space="preserve">Generic industry reports that are costly and quickly outdated.</w:t>
            </w:r>
          </w:p>
          <w:p>
            <w:pPr>
              <w:spacing w:after="40"/>
            </w:pPr>
            <w:r>
              <w:rPr>
                <w:rFonts w:ascii="Calibri" w:cs="Calibri" w:eastAsia="Calibri" w:hAnsi="Calibri"/>
                <w:b w:val="false"/>
                <w:bCs w:val="false"/>
                <w:sz w:val="21"/>
                <w:szCs w:val="21"/>
              </w:rPr>
              <w:t xml:space="preserve">Pros: familiar and easy to share. Cons: no interactivity, hard to compare manufacturers, categories and battery types together.</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6. Customer Constraints</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Limited time and technical skill to clean and analyse large datasets.</w:t>
            </w:r>
          </w:p>
          <w:p>
            <w:pPr>
              <w:spacing w:after="40"/>
            </w:pPr>
            <w:r>
              <w:rPr>
                <w:rFonts w:ascii="Calibri" w:cs="Calibri" w:eastAsia="Calibri" w:hAnsi="Calibri"/>
                <w:b w:val="false"/>
                <w:bCs w:val="false"/>
                <w:sz w:val="21"/>
                <w:szCs w:val="21"/>
              </w:rPr>
              <w:t xml:space="preserve">Data spread across sales, battery, pricing and rating sources.</w:t>
            </w:r>
          </w:p>
          <w:p>
            <w:pPr>
              <w:spacing w:after="40"/>
            </w:pPr>
            <w:r>
              <w:rPr>
                <w:rFonts w:ascii="Calibri" w:cs="Calibri" w:eastAsia="Calibri" w:hAnsi="Calibri"/>
                <w:b w:val="false"/>
                <w:bCs w:val="false"/>
                <w:sz w:val="21"/>
                <w:szCs w:val="21"/>
              </w:rPr>
              <w:t xml:space="preserve">Budget limits on commercial market-research subscriptions.</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7. Behaviour</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Download or request datasets and build manual pivot tables or charts.</w:t>
            </w:r>
          </w:p>
          <w:p>
            <w:pPr>
              <w:spacing w:after="40"/>
            </w:pPr>
            <w:r>
              <w:rPr>
                <w:rFonts w:ascii="Calibri" w:cs="Calibri" w:eastAsia="Calibri" w:hAnsi="Calibri"/>
                <w:b w:val="false"/>
                <w:bCs w:val="false"/>
                <w:sz w:val="21"/>
                <w:szCs w:val="21"/>
              </w:rPr>
              <w:t xml:space="preserve">Compare manufacturers and categories separately, then combine findings by hand.</w:t>
            </w:r>
          </w:p>
          <w:p>
            <w:pPr>
              <w:spacing w:after="40"/>
            </w:pPr>
            <w:r>
              <w:rPr>
                <w:rFonts w:ascii="Calibri" w:cs="Calibri" w:eastAsia="Calibri" w:hAnsi="Calibri"/>
                <w:b w:val="false"/>
                <w:bCs w:val="false"/>
                <w:sz w:val="21"/>
                <w:szCs w:val="21"/>
              </w:rPr>
              <w:t xml:space="preserve">Present summary slides to management.</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8. Channels of Behaviour</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Online: Tableau Public / Server dashboards, industry websites, shared reports and e-mail.</w:t>
            </w:r>
          </w:p>
          <w:p>
            <w:pPr>
              <w:spacing w:after="40"/>
            </w:pPr>
            <w:r>
              <w:rPr>
                <w:rFonts w:ascii="Calibri" w:cs="Calibri" w:eastAsia="Calibri" w:hAnsi="Calibri"/>
                <w:b w:val="false"/>
                <w:bCs w:val="false"/>
                <w:sz w:val="21"/>
                <w:szCs w:val="21"/>
              </w:rPr>
              <w:t xml:space="preserve">Offline: management review meetings, printed reports and client presentations.</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9. Your Solution</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Two interactive Tableau dashboards. Dashboard 1: sales and price by category, battery type vs sales, price vs range, top 15 manufacturers with customer rating. Dashboard 2: DC/AC charging time by battery type, efficiency by use case, range by model year, acceleration by manufacturer, degradation vs max DC charging power.</w:t>
            </w:r>
          </w:p>
          <w:p>
            <w:pPr>
              <w:spacing w:after="40"/>
            </w:pPr>
            <w:r>
              <w:rPr>
                <w:rFonts w:ascii="Calibri" w:cs="Calibri" w:eastAsia="Calibri" w:hAnsi="Calibri"/>
                <w:b w:val="false"/>
                <w:bCs w:val="false"/>
                <w:sz w:val="21"/>
                <w:szCs w:val="21"/>
              </w:rPr>
              <w:t xml:space="preserve">Filters, legends and tooltips let users explore the data themselves.</w:t>
            </w:r>
          </w:p>
        </w:tc>
      </w:tr>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40"/>
            </w:pPr>
            <w:r>
              <w:rPr>
                <w:rFonts w:ascii="Calibri" w:cs="Calibri" w:eastAsia="Calibri" w:hAnsi="Calibri"/>
                <w:b/>
                <w:bCs/>
                <w:sz w:val="21"/>
                <w:szCs w:val="21"/>
              </w:rPr>
              <w:t xml:space="preserve">10. Root Cause of the Problem</w:t>
            </w:r>
          </w:p>
        </w:tc>
        <w:tc>
          <w:tcPr>
            <w:tcW w:type="dxa" w:w="6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pPr>
            <w:r>
              <w:rPr>
                <w:rFonts w:ascii="Calibri" w:cs="Calibri" w:eastAsia="Calibri" w:hAnsi="Calibri"/>
                <w:b w:val="false"/>
                <w:bCs w:val="false"/>
                <w:sz w:val="21"/>
                <w:szCs w:val="21"/>
              </w:rPr>
              <w:t xml:space="preserve">Large, fragmented EV data with no single interactive view.</w:t>
            </w:r>
          </w:p>
          <w:p>
            <w:pPr>
              <w:spacing w:after="40"/>
            </w:pPr>
            <w:r>
              <w:rPr>
                <w:rFonts w:ascii="Calibri" w:cs="Calibri" w:eastAsia="Calibri" w:hAnsi="Calibri"/>
                <w:b w:val="false"/>
                <w:bCs w:val="false"/>
                <w:sz w:val="21"/>
                <w:szCs w:val="21"/>
              </w:rPr>
              <w:t xml:space="preserve">Manual analysis is slow, error-prone and cannot show relationships between sales, battery technology, range and satisfaction.</w:t>
            </w:r>
          </w:p>
        </w:tc>
      </w:tr>
    </w:tbl>
    <w:p>
      <w:pPr>
        <w:spacing w:after="80" w:before="200"/>
      </w:pPr>
      <w:r>
        <w:rPr>
          <w:rFonts w:ascii="Calibri" w:cs="Calibri" w:eastAsia="Calibri" w:hAnsi="Calibri"/>
          <w:b w:val="false"/>
          <w:bCs w:val="false"/>
          <w:sz w:val="18"/>
          <w:szCs w:val="18"/>
        </w:rPr>
        <w:t xml:space="preserve">Reference: Problem-Solution Fit canvas by Daria Nepriakhina / Amaltama.</w:t>
      </w:r>
    </w:p>
    <w:sectPr>
      <w:headerReference w:type="default" r:id="rId7"/>
      <w:pgSz w:w="11906" w:h="16838" w:orient="portrait"/>
      <w:pgMar w:top="1300" w:right="1450" w:bottom="10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238250" cy="5143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514350"/>
                  </a:xfrm>
                  <a:prstGeom prst="rect">
                    <a:avLst/>
                  </a:prstGeom>
                </pic:spPr>
              </pic:pic>
            </a:graphicData>
          </a:graphic>
        </wp:inline>
      </w:drawing>
    </w:r>
    <w:r>
      <w:t xml:space="preserve">				</w:t>
    </w:r>
    <w:r>
      <w:drawing>
        <wp:inline distT="0" distB="0" distL="0" distR="0">
          <wp:extent cx="952500" cy="438150"/>
          <wp:effectExtent t="0" r="0" b="0" l="0"/>
          <wp:docPr id="1" name="logo2" descr="logo2" title="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e29d00f62800ce628e67041f08b3f90f96c84b8.png"/><Relationship Id="rId1" Type="http://schemas.openxmlformats.org/officeDocument/2006/relationships/image" Target="media/83ead2da6592267ee3d899081b346dff918792b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2026-10-28T04:05:55.546Z</dcterms:created>
  <dcterms:modified xsi:type="dcterms:W3CDTF">2026-10-28T04:05:55.547Z</dcterms:modified>
</cp:coreProperties>
</file>

<file path=docProps/custom.xml><?xml version="1.0" encoding="utf-8"?>
<Properties xmlns="http://schemas.openxmlformats.org/officeDocument/2006/custom-properties" xmlns:vt="http://schemas.openxmlformats.org/officeDocument/2006/docPropsVTypes"/>
</file>