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Pr>
          <w:rFonts w:ascii="Cambria" w:cs="Cambria" w:eastAsia="Cambria" w:hAnsi="Cambria"/>
          <w:b w:val="1"/>
          <w:bCs w:val="1"/>
          <w:color w:val="000000"/>
          <w:sz w:val="32"/>
          <w:szCs w:val="32"/>
          <w:rtl w:val="0"/>
        </w:rPr>
        <w:t xml:space="preserve">Business Question and Visualization </w:t>
      </w:r>
      <w:r>
        <w:rPr>
          <w:rFonts w:ascii="Cambria" w:cs="Cambria" w:eastAsia="Cambria" w:hAnsi="Cambria"/>
          <w:b w:val="1"/>
          <w:bCs w:val="1"/>
          <w:sz w:val="32"/>
          <w:szCs w:val="32"/>
          <w:rtl w:val="0"/>
        </w:rPr>
        <w:t xml:space="preserve">Report</w:t>
      </w:r>
      <w:r>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PNT2022TMIDxxxxxx</w:t>
            </w:r>
          </w:p>
        </w:tc>
      </w:tr>
      <w:tr>
        <w:trPr>
          <w:cantSplit w:val="0"/>
          <w:tblHeader w:val="0"/>
        </w:trPr>
        <w:tc>
          <w:tcPr/>
          <w:p w:rsidR="00000000" w:rsidDel="00000000" w:rsidP="00000000" w:rsidRDefault="00000000" w:rsidRPr="00000000" w14:paraId="00000007">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Electric Vehicle Market Analysis Dashboard using Tableau</w:t>
            </w:r>
          </w:p>
        </w:tc>
      </w:tr>
      <w:tr>
        <w:trPr>
          <w:cantSplit w:val="0"/>
          <w:tblHeader w:val="0"/>
        </w:trPr>
        <w:tc>
          <w:tcPr/>
          <w:p w:rsidR="00000000" w:rsidDel="00000000" w:rsidP="00000000" w:rsidRDefault="00000000" w:rsidRPr="00000000" w14:paraId="00000009">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Pr>
          <w:rtl w:val="0"/>
        </w:rPr>
      </w:r>
    </w:p>
    <w:p w:rsidR="00000000" w:rsidDel="00000000" w:rsidP="00000000" w:rsidRDefault="00000000" w:rsidRPr="00000000" w14:paraId="0000000C">
      <w:pPr>
        <w:jc w:val="both"/>
        <w:rPr>
          <w:rFonts w:ascii="Cambria" w:cs="Cambria" w:eastAsia="Cambria" w:hAnsi="Cambria"/>
          <w:color w:val="000000"/>
          <w:sz w:val="24"/>
          <w:szCs w:val="24"/>
        </w:rPr>
      </w:pPr>
      <w:r>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pPr>
        <w:spacing w:before="0" w:after="160"/>
        <w:ind w:left="0"/>
      </w:pPr>
      <w:r>
        <w:rPr>
          <w:rFonts w:ascii="Cambria" w:cs="Cambria" w:eastAsia="Cambria" w:hAnsi="Cambria"/>
          <w:sz w:val="24"/>
          <w:szCs w:val="24"/>
        </w:rPr>
        <w:t xml:space="preserve">The questions below were defined to guide the nine Tableau worksheets of the EV Market Analysis dashboards used by the Market Strategy Director, BI Manager and Sustainable Mobility Researcher.</w:t>
      </w:r>
    </w:p>
    <w:p>
      <w:pPr>
        <w:keepNext/>
        <w:spacing w:before="200" w:after="60"/>
        <w:ind w:left="0"/>
      </w:pPr>
      <w:r>
        <w:rPr>
          <w:rFonts w:ascii="Cambria" w:cs="Cambria" w:eastAsia="Cambria" w:hAnsi="Cambria"/>
          <w:b w:val="1"/>
          <w:bCs w:val="1"/>
          <w:sz w:val="24"/>
          <w:szCs w:val="24"/>
        </w:rPr>
        <w:t xml:space="preserve">1. Which vehicle categories contribute the most to annual sales, and how does price compare?</w:t>
      </w:r>
    </w:p>
    <w:p>
      <w:pPr>
        <w:keepNext/>
        <w:spacing w:before="0" w:after="60"/>
        <w:ind w:left="360"/>
      </w:pPr>
      <w:r>
        <w:rPr>
          <w:rFonts w:ascii="Cambria" w:cs="Cambria" w:eastAsia="Cambria" w:hAnsi="Cambria"/>
          <w:i w:val="1"/>
          <w:iCs w:val="1"/>
          <w:sz w:val="24"/>
          <w:szCs w:val="24"/>
        </w:rPr>
        <w:t xml:space="preserve">Visualization</w:t>
      </w:r>
      <w:r>
        <w:rPr>
          <w:rFonts w:ascii="Cambria" w:cs="Cambria" w:eastAsia="Cambria" w:hAnsi="Cambria"/>
          <w:sz w:val="24"/>
          <w:szCs w:val="24"/>
        </w:rPr>
        <w:t xml:space="preserve">: Dual-axis chart: bars for annual sales units and a line for price (USD) by category (Sheet 1).</w:t>
      </w:r>
    </w:p>
    <w:p>
      <w:pPr>
        <w:keepNext/>
        <w:spacing w:before="0" w:after="80"/>
        <w:ind w:left="360"/>
      </w:pPr>
      <w:r>
        <w:rPr>
          <w:rFonts w:ascii="Cambria" w:cs="Cambria" w:eastAsia="Cambria" w:hAnsi="Cambria"/>
          <w:i w:val="1"/>
          <w:iCs w:val="1"/>
          <w:sz w:val="24"/>
          <w:szCs w:val="24"/>
        </w:rPr>
        <w:t xml:space="preserve">Insight</w:t>
      </w:r>
      <w:r>
        <w:rPr>
          <w:rFonts w:ascii="Cambria" w:cs="Cambria" w:eastAsia="Cambria" w:hAnsi="Cambria"/>
          <w:sz w:val="24"/>
          <w:szCs w:val="24"/>
        </w:rPr>
        <w:t xml:space="preserve">: Two-Wheeler Scooter, Compact SUV, Hatchback and Sedan lead with roughly 150M+ units each, while Electric Bus, Electric Truck and Pickup Truck sell the least. The price line peaks for low-volume commercial vehicles such as the Electric Bus.</w:t>
      </w:r>
    </w:p>
    <w:p>
      <w:pPr>
        <w:spacing w:before="60" w:after="160"/>
        <w:jc w:val="center"/>
      </w:pPr>
      <w:r>
        <w:drawing>
          <wp:inline distT="0" distB="0" distL="0" distR="0">
            <wp:extent cx="4572000" cy="2587924"/>
            <wp:docPr id="9101" name="Sheet 1"/>
            <a:graphic xmlns:a="http://schemas.openxmlformats.org/drawingml/2006/main">
              <a:graphicData uri="http://schemas.openxmlformats.org/drawingml/2006/picture">
                <pic:pic xmlns:pic="http://schemas.openxmlformats.org/drawingml/2006/picture">
                  <pic:nvPicPr>
                    <pic:cNvPr id="9101" name="Sheet 1" descr="Sheet 1"/>
                    <pic:cNvPicPr/>
                  </pic:nvPicPr>
                  <pic:blipFill>
                    <a:blip r:embed="rIdQ1"/>
                    <a:stretch>
                      <a:fillRect/>
                    </a:stretch>
                  </pic:blipFill>
                  <pic:spPr>
                    <a:xfrm>
                      <a:off x="0" y="0"/>
                      <a:ext cx="4572000" cy="2587924"/>
                    </a:xfrm>
                    <a:prstGeom prst="rect">
                      <a:avLst/>
                    </a:prstGeom>
                  </pic:spPr>
                </pic:pic>
              </a:graphicData>
            </a:graphic>
          </wp:inline>
        </w:drawing>
      </w:r>
    </w:p>
    <w:p>
      <w:pPr>
        <w:keepNext/>
        <w:spacing w:before="200" w:after="60"/>
        <w:ind w:left="0"/>
      </w:pPr>
      <w:r>
        <w:rPr>
          <w:rFonts w:ascii="Cambria" w:cs="Cambria" w:eastAsia="Cambria" w:hAnsi="Cambria"/>
          <w:b w:val="1"/>
          <w:bCs w:val="1"/>
          <w:sz w:val="24"/>
          <w:szCs w:val="24"/>
        </w:rPr>
        <w:t xml:space="preserve">2. Which battery technologies dominate the market, and in which categories?</w:t>
      </w:r>
    </w:p>
    <w:p>
      <w:pPr>
        <w:keepNext/>
        <w:spacing w:before="0" w:after="60"/>
        <w:ind w:left="360"/>
      </w:pPr>
      <w:r>
        <w:rPr>
          <w:rFonts w:ascii="Cambria" w:cs="Cambria" w:eastAsia="Cambria" w:hAnsi="Cambria"/>
          <w:i w:val="1"/>
          <w:iCs w:val="1"/>
          <w:sz w:val="24"/>
          <w:szCs w:val="24"/>
        </w:rPr>
        <w:t xml:space="preserve">Visualization</w:t>
      </w:r>
      <w:r>
        <w:rPr>
          <w:rFonts w:ascii="Cambria" w:cs="Cambria" w:eastAsia="Cambria" w:hAnsi="Cambria"/>
          <w:sz w:val="24"/>
          <w:szCs w:val="24"/>
        </w:rPr>
        <w:t xml:space="preserve">: Stacked horizontal bar chart of annual sales units by battery type, coloured by category (Sheet 2).</w:t>
      </w:r>
    </w:p>
    <w:p>
      <w:pPr>
        <w:keepNext/>
        <w:spacing w:before="0" w:after="80"/>
        <w:ind w:left="360"/>
      </w:pPr>
      <w:r>
        <w:rPr>
          <w:rFonts w:ascii="Cambria" w:cs="Cambria" w:eastAsia="Cambria" w:hAnsi="Cambria"/>
          <w:i w:val="1"/>
          <w:iCs w:val="1"/>
          <w:sz w:val="24"/>
          <w:szCs w:val="24"/>
        </w:rPr>
        <w:t xml:space="preserve">Insight</w:t>
      </w:r>
      <w:r>
        <w:rPr>
          <w:rFonts w:ascii="Cambria" w:cs="Cambria" w:eastAsia="Cambria" w:hAnsi="Cambria"/>
          <w:sz w:val="24"/>
          <w:szCs w:val="24"/>
        </w:rPr>
        <w:t xml:space="preserve">: NMC and LFP dominate with roughly 450M-500M units each, NCA is in the middle, and Sodium-Ion and Solid-State are still much smaller. The colour split shows which categories use each battery type.</w:t>
      </w:r>
    </w:p>
    <w:p>
      <w:pPr>
        <w:spacing w:before="60" w:after="160"/>
        <w:jc w:val="center"/>
      </w:pPr>
      <w:r>
        <w:drawing>
          <wp:inline distT="0" distB="0" distL="0" distR="0">
            <wp:extent cx="4572000" cy="2111322"/>
            <wp:docPr id="9102" name="Sheet 2"/>
            <a:graphic xmlns:a="http://schemas.openxmlformats.org/drawingml/2006/main">
              <a:graphicData uri="http://schemas.openxmlformats.org/drawingml/2006/picture">
                <pic:pic xmlns:pic="http://schemas.openxmlformats.org/drawingml/2006/picture">
                  <pic:nvPicPr>
                    <pic:cNvPr id="9102" name="Sheet 2" descr="Sheet 2"/>
                    <pic:cNvPicPr/>
                  </pic:nvPicPr>
                  <pic:blipFill>
                    <a:blip r:embed="rIdQ2"/>
                    <a:stretch>
                      <a:fillRect/>
                    </a:stretch>
                  </pic:blipFill>
                  <pic:spPr>
                    <a:xfrm>
                      <a:off x="0" y="0"/>
                      <a:ext cx="4572000" cy="2111322"/>
                    </a:xfrm>
                    <a:prstGeom prst="rect">
                      <a:avLst/>
                    </a:prstGeom>
                  </pic:spPr>
                </pic:pic>
              </a:graphicData>
            </a:graphic>
          </wp:inline>
        </w:drawing>
      </w:r>
    </w:p>
    <w:p>
      <w:pPr>
        <w:keepNext/>
        <w:spacing w:before="200" w:after="60"/>
        <w:ind w:left="0"/>
      </w:pPr>
      <w:r>
        <w:rPr>
          <w:rFonts w:ascii="Cambria" w:cs="Cambria" w:eastAsia="Cambria" w:hAnsi="Cambria"/>
          <w:b w:val="1"/>
          <w:bCs w:val="1"/>
          <w:sz w:val="24"/>
          <w:szCs w:val="24"/>
        </w:rPr>
        <w:t xml:space="preserve">3. How does price relate to driving range across categories?</w:t>
      </w:r>
    </w:p>
    <w:p>
      <w:pPr>
        <w:keepNext/>
        <w:spacing w:before="0" w:after="60"/>
        <w:ind w:left="360"/>
      </w:pPr>
      <w:r>
        <w:rPr>
          <w:rFonts w:ascii="Cambria" w:cs="Cambria" w:eastAsia="Cambria" w:hAnsi="Cambria"/>
          <w:i w:val="1"/>
          <w:iCs w:val="1"/>
          <w:sz w:val="24"/>
          <w:szCs w:val="24"/>
        </w:rPr>
        <w:t xml:space="preserve">Visualization</w:t>
      </w:r>
      <w:r>
        <w:rPr>
          <w:rFonts w:ascii="Cambria" w:cs="Cambria" w:eastAsia="Cambria" w:hAnsi="Cambria"/>
          <w:sz w:val="24"/>
          <w:szCs w:val="24"/>
        </w:rPr>
        <w:t xml:space="preserve">: Scatter plot of average price (USD) vs average range (km), coloured by category (Sheet 3).</w:t>
      </w:r>
    </w:p>
    <w:p>
      <w:pPr>
        <w:keepNext/>
        <w:spacing w:before="0" w:after="80"/>
        <w:ind w:left="360"/>
      </w:pPr>
      <w:r>
        <w:rPr>
          <w:rFonts w:ascii="Cambria" w:cs="Cambria" w:eastAsia="Cambria" w:hAnsi="Cambria"/>
          <w:i w:val="1"/>
          <w:iCs w:val="1"/>
          <w:sz w:val="24"/>
          <w:szCs w:val="24"/>
        </w:rPr>
        <w:t xml:space="preserve">Insight</w:t>
      </w:r>
      <w:r>
        <w:rPr>
          <w:rFonts w:ascii="Cambria" w:cs="Cambria" w:eastAsia="Cambria" w:hAnsi="Cambria"/>
          <w:sz w:val="24"/>
          <w:szCs w:val="24"/>
        </w:rPr>
        <w:t xml:space="preserve">: Most categories sit below about $100K with a range of 100-500 km, and range rises with price in that group. A few high-priced categories ($150K-$300K) do not offer a proportionally higher range.</w:t>
      </w:r>
    </w:p>
    <w:p>
      <w:pPr>
        <w:spacing w:before="60" w:after="160"/>
        <w:jc w:val="center"/>
      </w:pPr>
      <w:r>
        <w:drawing>
          <wp:inline distT="0" distB="0" distL="0" distR="0">
            <wp:extent cx="4572000" cy="2557115"/>
            <wp:docPr id="9103" name="Sheet 3"/>
            <a:graphic xmlns:a="http://schemas.openxmlformats.org/drawingml/2006/main">
              <a:graphicData uri="http://schemas.openxmlformats.org/drawingml/2006/picture">
                <pic:pic xmlns:pic="http://schemas.openxmlformats.org/drawingml/2006/picture">
                  <pic:nvPicPr>
                    <pic:cNvPr id="9103" name="Sheet 3" descr="Sheet 3"/>
                    <pic:cNvPicPr/>
                  </pic:nvPicPr>
                  <pic:blipFill>
                    <a:blip r:embed="rIdQ3"/>
                    <a:stretch>
                      <a:fillRect/>
                    </a:stretch>
                  </pic:blipFill>
                  <pic:spPr>
                    <a:xfrm>
                      <a:off x="0" y="0"/>
                      <a:ext cx="4572000" cy="2557115"/>
                    </a:xfrm>
                    <a:prstGeom prst="rect">
                      <a:avLst/>
                    </a:prstGeom>
                  </pic:spPr>
                </pic:pic>
              </a:graphicData>
            </a:graphic>
          </wp:inline>
        </w:drawing>
      </w:r>
    </w:p>
    <w:p>
      <w:pPr>
        <w:keepNext/>
        <w:spacing w:before="200" w:after="60"/>
        <w:ind w:left="0"/>
      </w:pPr>
      <w:r>
        <w:rPr>
          <w:rFonts w:ascii="Cambria" w:cs="Cambria" w:eastAsia="Cambria" w:hAnsi="Cambria"/>
          <w:b w:val="1"/>
          <w:bCs w:val="1"/>
          <w:sz w:val="24"/>
          <w:szCs w:val="24"/>
        </w:rPr>
        <w:t xml:space="preserve">4. Who are the leading manufacturers, and how satisfied are their customers?</w:t>
      </w:r>
    </w:p>
    <w:p>
      <w:pPr>
        <w:keepNext/>
        <w:spacing w:before="0" w:after="60"/>
        <w:ind w:left="360"/>
      </w:pPr>
      <w:r>
        <w:rPr>
          <w:rFonts w:ascii="Cambria" w:cs="Cambria" w:eastAsia="Cambria" w:hAnsi="Cambria"/>
          <w:i w:val="1"/>
          <w:iCs w:val="1"/>
          <w:sz w:val="24"/>
          <w:szCs w:val="24"/>
        </w:rPr>
        <w:t xml:space="preserve">Visualization</w:t>
      </w:r>
      <w:r>
        <w:rPr>
          <w:rFonts w:ascii="Cambria" w:cs="Cambria" w:eastAsia="Cambria" w:hAnsi="Cambria"/>
          <w:sz w:val="24"/>
          <w:szCs w:val="24"/>
        </w:rPr>
        <w:t xml:space="preserve">: Horizontal bar chart of the Top 15 manufacturers by annual sales, coloured by average customer rating, with a manufacturer filter (Sheet 4).</w:t>
      </w:r>
    </w:p>
    <w:p>
      <w:pPr>
        <w:keepNext/>
        <w:spacing w:before="0" w:after="80"/>
        <w:ind w:left="360"/>
      </w:pPr>
      <w:r>
        <w:rPr>
          <w:rFonts w:ascii="Cambria" w:cs="Cambria" w:eastAsia="Cambria" w:hAnsi="Cambria"/>
          <w:i w:val="1"/>
          <w:iCs w:val="1"/>
          <w:sz w:val="24"/>
          <w:szCs w:val="24"/>
        </w:rPr>
        <w:t xml:space="preserve">Insight</w:t>
      </w:r>
      <w:r>
        <w:rPr>
          <w:rFonts w:ascii="Cambria" w:cs="Cambria" w:eastAsia="Cambria" w:hAnsi="Cambria"/>
          <w:sz w:val="24"/>
          <w:szCs w:val="24"/>
        </w:rPr>
        <w:t xml:space="preserve">: The top 15 manufacturers are close to each other at about 8M-9M units, with AmpereWorks slightly ahead. Average customer ratings are tightly grouped between about 4.07 and 4.12.</w:t>
      </w:r>
    </w:p>
    <w:p>
      <w:pPr>
        <w:spacing w:before="60" w:after="160"/>
        <w:jc w:val="center"/>
      </w:pPr>
      <w:r>
        <w:drawing>
          <wp:inline distT="0" distB="0" distL="0" distR="0">
            <wp:extent cx="4572000" cy="2121812"/>
            <wp:docPr id="9104" name="Sheet 4"/>
            <a:graphic xmlns:a="http://schemas.openxmlformats.org/drawingml/2006/main">
              <a:graphicData uri="http://schemas.openxmlformats.org/drawingml/2006/picture">
                <pic:pic xmlns:pic="http://schemas.openxmlformats.org/drawingml/2006/picture">
                  <pic:nvPicPr>
                    <pic:cNvPr id="9104" name="Sheet 4" descr="Sheet 4"/>
                    <pic:cNvPicPr/>
                  </pic:nvPicPr>
                  <pic:blipFill>
                    <a:blip r:embed="rIdQ4"/>
                    <a:stretch>
                      <a:fillRect/>
                    </a:stretch>
                  </pic:blipFill>
                  <pic:spPr>
                    <a:xfrm>
                      <a:off x="0" y="0"/>
                      <a:ext cx="4572000" cy="2121812"/>
                    </a:xfrm>
                    <a:prstGeom prst="rect">
                      <a:avLst/>
                    </a:prstGeom>
                  </pic:spPr>
                </pic:pic>
              </a:graphicData>
            </a:graphic>
          </wp:inline>
        </w:drawing>
      </w:r>
    </w:p>
    <w:p>
      <w:pPr>
        <w:keepNext/>
        <w:spacing w:before="200" w:after="60"/>
        <w:ind w:left="0"/>
      </w:pPr>
      <w:r>
        <w:rPr>
          <w:rFonts w:ascii="Cambria" w:cs="Cambria" w:eastAsia="Cambria" w:hAnsi="Cambria"/>
          <w:b w:val="1"/>
          <w:bCs w:val="1"/>
          <w:sz w:val="24"/>
          <w:szCs w:val="24"/>
        </w:rPr>
        <w:t xml:space="preserve">5. How does charging time vary across battery types?</w:t>
      </w:r>
    </w:p>
    <w:p>
      <w:pPr>
        <w:keepNext/>
        <w:spacing w:before="0" w:after="60"/>
        <w:ind w:left="360"/>
      </w:pPr>
      <w:r>
        <w:rPr>
          <w:rFonts w:ascii="Cambria" w:cs="Cambria" w:eastAsia="Cambria" w:hAnsi="Cambria"/>
          <w:i w:val="1"/>
          <w:iCs w:val="1"/>
          <w:sz w:val="24"/>
          <w:szCs w:val="24"/>
        </w:rPr>
        <w:t xml:space="preserve">Visualization</w:t>
      </w:r>
      <w:r>
        <w:rPr>
          <w:rFonts w:ascii="Cambria" w:cs="Cambria" w:eastAsia="Cambria" w:hAnsi="Cambria"/>
          <w:sz w:val="24"/>
          <w:szCs w:val="24"/>
        </w:rPr>
        <w:t xml:space="preserve">: Combined bar chart comparing average DC fast-charging time and AC charging time by battery type (Sheet 5).</w:t>
      </w:r>
    </w:p>
    <w:p>
      <w:pPr>
        <w:keepNext/>
        <w:spacing w:before="0" w:after="80"/>
        <w:ind w:left="360"/>
      </w:pPr>
      <w:r>
        <w:rPr>
          <w:rFonts w:ascii="Cambria" w:cs="Cambria" w:eastAsia="Cambria" w:hAnsi="Cambria"/>
          <w:i w:val="1"/>
          <w:iCs w:val="1"/>
          <w:sz w:val="24"/>
          <w:szCs w:val="24"/>
        </w:rPr>
        <w:t xml:space="preserve">Insight</w:t>
      </w:r>
      <w:r>
        <w:rPr>
          <w:rFonts w:ascii="Cambria" w:cs="Cambria" w:eastAsia="Cambria" w:hAnsi="Cambria"/>
          <w:sz w:val="24"/>
          <w:szCs w:val="24"/>
        </w:rPr>
        <w:t xml:space="preserve">: Charging time differs clearly by battery type. Solid-State and Sodium-Ion show the shortest fast-charge times in the chart, while LFP and NMC are at the higher end (around 20 minutes).</w:t>
      </w:r>
    </w:p>
    <w:p>
      <w:pPr>
        <w:spacing w:before="60" w:after="160"/>
        <w:jc w:val="center"/>
      </w:pPr>
      <w:r>
        <w:drawing>
          <wp:inline distT="0" distB="0" distL="0" distR="0">
            <wp:extent cx="4116032" cy="2815908"/>
            <wp:docPr id="9105" name="Sheet 5"/>
            <a:graphic xmlns:a="http://schemas.openxmlformats.org/drawingml/2006/main">
              <a:graphicData uri="http://schemas.openxmlformats.org/drawingml/2006/picture">
                <pic:pic xmlns:pic="http://schemas.openxmlformats.org/drawingml/2006/picture">
                  <pic:nvPicPr>
                    <pic:cNvPr id="9105" name="Sheet 5" descr="Sheet 5"/>
                    <pic:cNvPicPr/>
                  </pic:nvPicPr>
                  <pic:blipFill>
                    <a:blip r:embed="rIdQ5"/>
                    <a:stretch>
                      <a:fillRect/>
                    </a:stretch>
                  </pic:blipFill>
                  <pic:spPr>
                    <a:xfrm>
                      <a:off x="0" y="0"/>
                      <a:ext cx="4116032" cy="2815908"/>
                    </a:xfrm>
                    <a:prstGeom prst="rect">
                      <a:avLst/>
                    </a:prstGeom>
                  </pic:spPr>
                </pic:pic>
              </a:graphicData>
            </a:graphic>
          </wp:inline>
        </w:drawing>
      </w:r>
    </w:p>
    <w:p>
      <w:pPr>
        <w:keepNext/>
        <w:spacing w:before="200" w:after="60"/>
        <w:ind w:left="0"/>
      </w:pPr>
      <w:r>
        <w:rPr>
          <w:rFonts w:ascii="Cambria" w:cs="Cambria" w:eastAsia="Cambria" w:hAnsi="Cambria"/>
          <w:b w:val="1"/>
          <w:bCs w:val="1"/>
          <w:sz w:val="24"/>
          <w:szCs w:val="24"/>
        </w:rPr>
        <w:t xml:space="preserve">6. Which recommended use cases are the most energy efficient?</w:t>
      </w:r>
    </w:p>
    <w:p>
      <w:pPr>
        <w:keepNext/>
        <w:spacing w:before="0" w:after="60"/>
        <w:ind w:left="360"/>
      </w:pPr>
      <w:r>
        <w:rPr>
          <w:rFonts w:ascii="Cambria" w:cs="Cambria" w:eastAsia="Cambria" w:hAnsi="Cambria"/>
          <w:i w:val="1"/>
          <w:iCs w:val="1"/>
          <w:sz w:val="24"/>
          <w:szCs w:val="24"/>
        </w:rPr>
        <w:t xml:space="preserve">Visualization</w:t>
      </w:r>
      <w:r>
        <w:rPr>
          <w:rFonts w:ascii="Cambria" w:cs="Cambria" w:eastAsia="Cambria" w:hAnsi="Cambria"/>
          <w:sz w:val="24"/>
          <w:szCs w:val="24"/>
        </w:rPr>
        <w:t xml:space="preserve">: Dot plot of average efficiency (Wh per km) by recommended use case (Sheet 6).</w:t>
      </w:r>
    </w:p>
    <w:p>
      <w:pPr>
        <w:keepNext/>
        <w:spacing w:before="0" w:after="80"/>
        <w:ind w:left="360"/>
      </w:pPr>
      <w:r>
        <w:rPr>
          <w:rFonts w:ascii="Cambria" w:cs="Cambria" w:eastAsia="Cambria" w:hAnsi="Cambria"/>
          <w:i w:val="1"/>
          <w:iCs w:val="1"/>
          <w:sz w:val="24"/>
          <w:szCs w:val="24"/>
        </w:rPr>
        <w:t xml:space="preserve">Insight</w:t>
      </w:r>
      <w:r>
        <w:rPr>
          <w:rFonts w:ascii="Cambria" w:cs="Cambria" w:eastAsia="Cambria" w:hAnsi="Cambria"/>
          <w:sz w:val="24"/>
          <w:szCs w:val="24"/>
        </w:rPr>
        <w:t xml:space="preserve">: Most use cases cluster at about 100-200 Wh/km, while two heavy-duty use cases, commercial delivery and public transport, stand out at roughly 700 and 1,150 Wh/km.</w:t>
      </w:r>
    </w:p>
    <w:p>
      <w:pPr>
        <w:spacing w:before="60" w:after="160"/>
        <w:jc w:val="center"/>
      </w:pPr>
      <w:r>
        <w:drawing>
          <wp:inline distT="0" distB="0" distL="0" distR="0">
            <wp:extent cx="4572000" cy="1538977"/>
            <wp:docPr id="9106" name="Sheet 6"/>
            <a:graphic xmlns:a="http://schemas.openxmlformats.org/drawingml/2006/main">
              <a:graphicData uri="http://schemas.openxmlformats.org/drawingml/2006/picture">
                <pic:pic xmlns:pic="http://schemas.openxmlformats.org/drawingml/2006/picture">
                  <pic:nvPicPr>
                    <pic:cNvPr id="9106" name="Sheet 6" descr="Sheet 6"/>
                    <pic:cNvPicPr/>
                  </pic:nvPicPr>
                  <pic:blipFill>
                    <a:blip r:embed="rIdQ6"/>
                    <a:stretch>
                      <a:fillRect/>
                    </a:stretch>
                  </pic:blipFill>
                  <pic:spPr>
                    <a:xfrm>
                      <a:off x="0" y="0"/>
                      <a:ext cx="4572000" cy="1538977"/>
                    </a:xfrm>
                    <a:prstGeom prst="rect">
                      <a:avLst/>
                    </a:prstGeom>
                  </pic:spPr>
                </pic:pic>
              </a:graphicData>
            </a:graphic>
          </wp:inline>
        </w:drawing>
      </w:r>
    </w:p>
    <w:p>
      <w:pPr>
        <w:keepNext/>
        <w:spacing w:before="200" w:after="60"/>
        <w:ind w:left="0"/>
      </w:pPr>
      <w:r>
        <w:rPr>
          <w:rFonts w:ascii="Cambria" w:cs="Cambria" w:eastAsia="Cambria" w:hAnsi="Cambria"/>
          <w:b w:val="1"/>
          <w:bCs w:val="1"/>
          <w:sz w:val="24"/>
          <w:szCs w:val="24"/>
        </w:rPr>
        <w:t xml:space="preserve">7. Has driving range improved over the model years 2018 to 2026?</w:t>
      </w:r>
    </w:p>
    <w:p>
      <w:pPr>
        <w:keepNext/>
        <w:spacing w:before="0" w:after="60"/>
        <w:ind w:left="360"/>
      </w:pPr>
      <w:r>
        <w:rPr>
          <w:rFonts w:ascii="Cambria" w:cs="Cambria" w:eastAsia="Cambria" w:hAnsi="Cambria"/>
          <w:i w:val="1"/>
          <w:iCs w:val="1"/>
          <w:sz w:val="24"/>
          <w:szCs w:val="24"/>
        </w:rPr>
        <w:t xml:space="preserve">Visualization</w:t>
      </w:r>
      <w:r>
        <w:rPr>
          <w:rFonts w:ascii="Cambria" w:cs="Cambria" w:eastAsia="Cambria" w:hAnsi="Cambria"/>
          <w:sz w:val="24"/>
          <w:szCs w:val="24"/>
        </w:rPr>
        <w:t xml:space="preserve">: Multi-line chart of average range (km) by model year, one line per category (Sheet 7).</w:t>
      </w:r>
    </w:p>
    <w:p>
      <w:pPr>
        <w:keepNext/>
        <w:spacing w:before="0" w:after="80"/>
        <w:ind w:left="360"/>
      </w:pPr>
      <w:r>
        <w:rPr>
          <w:rFonts w:ascii="Cambria" w:cs="Cambria" w:eastAsia="Cambria" w:hAnsi="Cambria"/>
          <w:i w:val="1"/>
          <w:iCs w:val="1"/>
          <w:sz w:val="24"/>
          <w:szCs w:val="24"/>
        </w:rPr>
        <w:t xml:space="preserve">Insight</w:t>
      </w:r>
      <w:r>
        <w:rPr>
          <w:rFonts w:ascii="Cambria" w:cs="Cambria" w:eastAsia="Cambria" w:hAnsi="Cambria"/>
          <w:sz w:val="24"/>
          <w:szCs w:val="24"/>
        </w:rPr>
        <w:t xml:space="preserve">: Average range for every category stays almost flat from 2018 to 2026, so recent growth is coming from sales volume and category mix rather than range gains.</w:t>
      </w:r>
    </w:p>
    <w:p>
      <w:pPr>
        <w:spacing w:before="60" w:after="160"/>
        <w:jc w:val="center"/>
      </w:pPr>
      <w:r>
        <w:drawing>
          <wp:inline distT="0" distB="0" distL="0" distR="0">
            <wp:extent cx="4116032" cy="2261352"/>
            <wp:docPr id="9107" name="Sheet 7"/>
            <a:graphic xmlns:a="http://schemas.openxmlformats.org/drawingml/2006/main">
              <a:graphicData uri="http://schemas.openxmlformats.org/drawingml/2006/picture">
                <pic:pic xmlns:pic="http://schemas.openxmlformats.org/drawingml/2006/picture">
                  <pic:nvPicPr>
                    <pic:cNvPr id="9107" name="Sheet 7" descr="Sheet 7"/>
                    <pic:cNvPicPr/>
                  </pic:nvPicPr>
                  <pic:blipFill>
                    <a:blip r:embed="rIdQ7"/>
                    <a:stretch>
                      <a:fillRect/>
                    </a:stretch>
                  </pic:blipFill>
                  <pic:spPr>
                    <a:xfrm>
                      <a:off x="0" y="0"/>
                      <a:ext cx="4116032" cy="2261352"/>
                    </a:xfrm>
                    <a:prstGeom prst="rect">
                      <a:avLst/>
                    </a:prstGeom>
                  </pic:spPr>
                </pic:pic>
              </a:graphicData>
            </a:graphic>
          </wp:inline>
        </w:drawing>
      </w:r>
    </w:p>
    <w:p>
      <w:pPr>
        <w:keepNext/>
        <w:spacing w:before="200" w:after="60"/>
        <w:ind w:left="0"/>
      </w:pPr>
      <w:r>
        <w:rPr>
          <w:rFonts w:ascii="Cambria" w:cs="Cambria" w:eastAsia="Cambria" w:hAnsi="Cambria"/>
          <w:b w:val="1"/>
          <w:bCs w:val="1"/>
          <w:sz w:val="24"/>
          <w:szCs w:val="24"/>
        </w:rPr>
        <w:t xml:space="preserve">8. How do manufacturers compare on acceleration (0-100)?</w:t>
      </w:r>
    </w:p>
    <w:p>
      <w:pPr>
        <w:keepNext/>
        <w:spacing w:before="0" w:after="60"/>
        <w:ind w:left="360"/>
      </w:pPr>
      <w:r>
        <w:rPr>
          <w:rFonts w:ascii="Cambria" w:cs="Cambria" w:eastAsia="Cambria" w:hAnsi="Cambria"/>
          <w:i w:val="1"/>
          <w:iCs w:val="1"/>
          <w:sz w:val="24"/>
          <w:szCs w:val="24"/>
        </w:rPr>
        <w:t xml:space="preserve">Visualization</w:t>
      </w:r>
      <w:r>
        <w:rPr>
          <w:rFonts w:ascii="Cambria" w:cs="Cambria" w:eastAsia="Cambria" w:hAnsi="Cambria"/>
          <w:sz w:val="24"/>
          <w:szCs w:val="24"/>
        </w:rPr>
        <w:t xml:space="preserve">: Heat map / stacked chart of average 0-100 acceleration by manufacturer, with the selected cell highlighted (Sheet 8).</w:t>
      </w:r>
    </w:p>
    <w:p>
      <w:pPr>
        <w:keepNext/>
        <w:spacing w:before="0" w:after="80"/>
        <w:ind w:left="360"/>
      </w:pPr>
      <w:r>
        <w:rPr>
          <w:rFonts w:ascii="Cambria" w:cs="Cambria" w:eastAsia="Cambria" w:hAnsi="Cambria"/>
          <w:i w:val="1"/>
          <w:iCs w:val="1"/>
          <w:sz w:val="24"/>
          <w:szCs w:val="24"/>
        </w:rPr>
        <w:t xml:space="preserve">Insight</w:t>
      </w:r>
      <w:r>
        <w:rPr>
          <w:rFonts w:ascii="Cambria" w:cs="Cambria" w:eastAsia="Cambria" w:hAnsi="Cambria"/>
          <w:sz w:val="24"/>
          <w:szCs w:val="24"/>
        </w:rPr>
        <w:t xml:space="preserve">: Acceleration profiles are very similar across the manufacturers shown (AmpereDynamics to WattWheels), so speed is not a major differentiator between them.</w:t>
      </w:r>
    </w:p>
    <w:p>
      <w:pPr>
        <w:spacing w:before="60" w:after="160"/>
        <w:jc w:val="center"/>
      </w:pPr>
      <w:r>
        <w:drawing>
          <wp:inline distT="0" distB="0" distL="0" distR="0">
            <wp:extent cx="2760452" cy="3234904"/>
            <wp:docPr id="9108" name="Sheet 8"/>
            <a:graphic xmlns:a="http://schemas.openxmlformats.org/drawingml/2006/main">
              <a:graphicData uri="http://schemas.openxmlformats.org/drawingml/2006/picture">
                <pic:pic xmlns:pic="http://schemas.openxmlformats.org/drawingml/2006/picture">
                  <pic:nvPicPr>
                    <pic:cNvPr id="9108" name="Sheet 8" descr="Sheet 8"/>
                    <pic:cNvPicPr/>
                  </pic:nvPicPr>
                  <pic:blipFill>
                    <a:blip r:embed="rIdQ8"/>
                    <a:stretch>
                      <a:fillRect/>
                    </a:stretch>
                  </pic:blipFill>
                  <pic:spPr>
                    <a:xfrm>
                      <a:off x="0" y="0"/>
                      <a:ext cx="2760452" cy="3234904"/>
                    </a:xfrm>
                    <a:prstGeom prst="rect">
                      <a:avLst/>
                    </a:prstGeom>
                  </pic:spPr>
                </pic:pic>
              </a:graphicData>
            </a:graphic>
          </wp:inline>
        </w:drawing>
      </w:r>
    </w:p>
    <w:p>
      <w:pPr>
        <w:keepNext/>
        <w:spacing w:before="200" w:after="60"/>
        <w:ind w:left="0"/>
      </w:pPr>
      <w:r>
        <w:rPr>
          <w:rFonts w:ascii="Cambria" w:cs="Cambria" w:eastAsia="Cambria" w:hAnsi="Cambria"/>
          <w:b w:val="1"/>
          <w:bCs w:val="1"/>
          <w:sz w:val="24"/>
          <w:szCs w:val="24"/>
        </w:rPr>
        <w:t xml:space="preserve">9. How does battery degradation change with maximum DC charging power?</w:t>
      </w:r>
    </w:p>
    <w:p>
      <w:pPr>
        <w:keepNext/>
        <w:spacing w:before="0" w:after="60"/>
        <w:ind w:left="360"/>
      </w:pPr>
      <w:r>
        <w:rPr>
          <w:rFonts w:ascii="Cambria" w:cs="Cambria" w:eastAsia="Cambria" w:hAnsi="Cambria"/>
          <w:i w:val="1"/>
          <w:iCs w:val="1"/>
          <w:sz w:val="24"/>
          <w:szCs w:val="24"/>
        </w:rPr>
        <w:t xml:space="preserve">Visualization</w:t>
      </w:r>
      <w:r>
        <w:rPr>
          <w:rFonts w:ascii="Cambria" w:cs="Cambria" w:eastAsia="Cambria" w:hAnsi="Cambria"/>
          <w:sz w:val="24"/>
          <w:szCs w:val="24"/>
        </w:rPr>
        <w:t xml:space="preserve">: Area chart of battery degradation (% after 5 years) vs average max DC charging power (kW), coloured by battery type and sized by CO2 saved (Sheet 9).</w:t>
      </w:r>
    </w:p>
    <w:p>
      <w:pPr>
        <w:keepNext/>
        <w:spacing w:before="0" w:after="80"/>
        <w:ind w:left="360"/>
      </w:pPr>
      <w:r>
        <w:rPr>
          <w:rFonts w:ascii="Cambria" w:cs="Cambria" w:eastAsia="Cambria" w:hAnsi="Cambria"/>
          <w:i w:val="1"/>
          <w:iCs w:val="1"/>
          <w:sz w:val="24"/>
          <w:szCs w:val="24"/>
        </w:rPr>
        <w:t xml:space="preserve">Insight</w:t>
      </w:r>
      <w:r>
        <w:rPr>
          <w:rFonts w:ascii="Cambria" w:cs="Cambria" w:eastAsia="Cambria" w:hAnsi="Cambria"/>
          <w:sz w:val="24"/>
          <w:szCs w:val="24"/>
        </w:rPr>
        <w:t xml:space="preserve">: Degradation ranges widely (about 1%-35%) across 0-350 kW. LFP covers most of the range, while Solid-State and Sodium-Ion appear in the lower-degradation band at higher charging power.</w:t>
      </w:r>
    </w:p>
    <w:p>
      <w:pPr>
        <w:spacing w:before="60" w:after="160"/>
        <w:jc w:val="center"/>
      </w:pPr>
      <w:r>
        <w:drawing>
          <wp:inline distT="0" distB="0" distL="0" distR="0">
            <wp:extent cx="3253390" cy="3216419"/>
            <wp:docPr id="9109" name="Sheet 9"/>
            <a:graphic xmlns:a="http://schemas.openxmlformats.org/drawingml/2006/main">
              <a:graphicData uri="http://schemas.openxmlformats.org/drawingml/2006/picture">
                <pic:pic xmlns:pic="http://schemas.openxmlformats.org/drawingml/2006/picture">
                  <pic:nvPicPr>
                    <pic:cNvPr id="9109" name="Sheet 9" descr="Sheet 9"/>
                    <pic:cNvPicPr/>
                  </pic:nvPicPr>
                  <pic:blipFill>
                    <a:blip r:embed="rIdQ9"/>
                    <a:stretch>
                      <a:fillRect/>
                    </a:stretch>
                  </pic:blipFill>
                  <pic:spPr>
                    <a:xfrm>
                      <a:off x="0" y="0"/>
                      <a:ext cx="3253390" cy="3216419"/>
                    </a:xfrm>
                    <a:prstGeom prst="rect">
                      <a:avLst/>
                    </a:prstGeom>
                  </pic:spPr>
                </pic:pic>
              </a:graphicData>
            </a:graphic>
          </wp:inline>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Q1" Type="http://schemas.openxmlformats.org/officeDocument/2006/relationships/image" Target="media/s1.png"/><Relationship Id="rIdQ2" Type="http://schemas.openxmlformats.org/officeDocument/2006/relationships/image" Target="media/s2.png"/><Relationship Id="rIdQ3" Type="http://schemas.openxmlformats.org/officeDocument/2006/relationships/image" Target="media/s3.png"/><Relationship Id="rIdQ4" Type="http://schemas.openxmlformats.org/officeDocument/2006/relationships/image" Target="media/s4.png"/><Relationship Id="rIdQ5" Type="http://schemas.openxmlformats.org/officeDocument/2006/relationships/image" Target="media/s5.png"/><Relationship Id="rIdQ6" Type="http://schemas.openxmlformats.org/officeDocument/2006/relationships/image" Target="media/s6.png"/><Relationship Id="rIdQ7" Type="http://schemas.openxmlformats.org/officeDocument/2006/relationships/image" Target="media/s7.png"/><Relationship Id="rIdQ8" Type="http://schemas.openxmlformats.org/officeDocument/2006/relationships/image" Target="media/s8.png"/><Relationship Id="rIdQ9" Type="http://schemas.openxmlformats.org/officeDocument/2006/relationships/image" Target="media/s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