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Pr>
          <w:rFonts w:ascii="Cambria" w:cs="Cambria" w:eastAsia="Cambria" w:hAnsi="Cambria"/>
          <w:b w:val="1"/>
          <w:bCs w:val="1"/>
          <w:color w:val="000000"/>
          <w:sz w:val="32"/>
          <w:szCs w:val="32"/>
          <w:highlight w:val="white"/>
          <w:rtl w:val="0"/>
        </w:rPr>
        <w:t xml:space="preserve">                                      Dashboard Design</w:t>
      </w:r>
      <w:r>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Pr>
                <w:rtl w:val="0"/>
              </w:rPr>
              <w:t xml:space="preserve">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Pr>
                <w:rtl w:val="0"/>
              </w:rPr>
              <w:t xml:space="preserve">PNT2022TMIDxxxxxx</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Pr>
                <w:rtl w:val="0"/>
              </w:rPr>
              <w:t xml:space="preserve">Electric Vehicle Market Analysis Dashboard using Tableau</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Pr>
          <w:rFonts w:ascii="Cambria" w:cs="Cambria" w:eastAsia="Cambria" w:hAnsi="Cambria"/>
          <w:b w:val="1"/>
          <w:bCs w:val="1"/>
          <w:color w:val="000000"/>
          <w:sz w:val="32"/>
          <w:szCs w:val="32"/>
          <w:highlight w:val="white"/>
          <w:rtl w:val="0"/>
        </w:rPr>
        <w:tab/>
      </w:r>
      <w:r>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Pr>
          <w:rtl w:val="0"/>
        </w:rPr>
      </w:r>
    </w:p>
    <w:p>
      <w:pPr>
        <w:keepNext/>
        <w:spacing w:before="0" w:after="40"/>
        <w:ind w:left="0"/>
      </w:pPr>
      <w:r>
        <w:rPr>
          <w:rFonts w:ascii="Cambria" w:cs="Cambria" w:eastAsia="Cambria" w:hAnsi="Cambria"/>
          <w:b w:val="1"/>
          <w:bCs w:val="1"/>
          <w:sz w:val="24"/>
          <w:szCs w:val="24"/>
        </w:rPr>
        <w:t xml:space="preserve">Dashboard 1: Market Overview</w:t>
      </w:r>
    </w:p>
    <w:p>
      <w:pPr>
        <w:spacing w:before="60" w:after="160"/>
        <w:jc w:val="center"/>
      </w:pPr>
      <w:r>
        <w:drawing>
          <wp:inline distT="0" distB="0" distL="0" distR="0">
            <wp:extent cx="5733288" cy="2944872"/>
            <wp:docPr id="9110" name="Dashboard 1"/>
            <a:graphic xmlns:a="http://schemas.openxmlformats.org/drawingml/2006/main">
              <a:graphicData uri="http://schemas.openxmlformats.org/drawingml/2006/picture">
                <pic:pic xmlns:pic="http://schemas.openxmlformats.org/drawingml/2006/picture">
                  <pic:nvPicPr>
                    <pic:cNvPr id="9110" name="Dashboard 1" descr="Dashboard 1"/>
                    <pic:cNvPicPr/>
                  </pic:nvPicPr>
                  <pic:blipFill>
                    <a:blip r:embed="rIdD1"/>
                    <a:stretch>
                      <a:fillRect/>
                    </a:stretch>
                  </pic:blipFill>
                  <pic:spPr>
                    <a:xfrm>
                      <a:off x="0" y="0"/>
                      <a:ext cx="5733288" cy="2944872"/>
                    </a:xfrm>
                    <a:prstGeom prst="rect">
                      <a:avLst/>
                    </a:prstGeom>
                  </pic:spPr>
                </pic:pic>
              </a:graphicData>
            </a:graphic>
          </wp:inline>
        </w:drawing>
      </w:r>
    </w:p>
    <w:p>
      <w:pPr>
        <w:keepNext/>
        <w:spacing w:before="0" w:after="40"/>
        <w:ind w:left="0"/>
      </w:pPr>
      <w:r>
        <w:rPr>
          <w:rFonts w:ascii="Cambria" w:cs="Cambria" w:eastAsia="Cambria" w:hAnsi="Cambria"/>
          <w:b w:val="1"/>
          <w:bCs w:val="1"/>
          <w:sz w:val="24"/>
          <w:szCs w:val="24"/>
        </w:rPr>
        <w:t xml:space="preserve">Dashboard 2: Battery &amp; Performance</w:t>
      </w:r>
    </w:p>
    <w:p>
      <w:pPr>
        <w:spacing w:before="60" w:after="160"/>
        <w:jc w:val="center"/>
      </w:pPr>
      <w:r>
        <w:drawing>
          <wp:inline distT="0" distB="0" distL="0" distR="0">
            <wp:extent cx="5733288" cy="2918764"/>
            <wp:docPr id="9111" name="Dashboard 2"/>
            <a:graphic xmlns:a="http://schemas.openxmlformats.org/drawingml/2006/main">
              <a:graphicData uri="http://schemas.openxmlformats.org/drawingml/2006/picture">
                <pic:pic xmlns:pic="http://schemas.openxmlformats.org/drawingml/2006/picture">
                  <pic:nvPicPr>
                    <pic:cNvPr id="9111" name="Dashboard 2" descr="Dashboard 2"/>
                    <pic:cNvPicPr/>
                  </pic:nvPicPr>
                  <pic:blipFill>
                    <a:blip r:embed="rIdD2"/>
                    <a:stretch>
                      <a:fillRect/>
                    </a:stretch>
                  </pic:blipFill>
                  <pic:spPr>
                    <a:xfrm>
                      <a:off x="0" y="0"/>
                      <a:ext cx="5733288" cy="2918764"/>
                    </a:xfrm>
                    <a:prstGeom prst="rect">
                      <a:avLst/>
                    </a:prstGeom>
                  </pic:spPr>
                </pic:pic>
              </a:graphicData>
            </a:graphic>
          </wp:inline>
        </w:drawing>
      </w:r>
    </w:p>
    <w:p w:rsidR="00000000" w:rsidDel="00000000" w:rsidP="00000000" w:rsidRDefault="00000000" w:rsidRPr="00000000" w14:paraId="00000019">
      <w:pPr>
        <w:spacing w:after="200" w:line="240" w:lineRule="auto"/>
        <w:rPr>
          <w:rFonts w:ascii="Arial" w:cs="Arial" w:eastAsia="Arial" w:hAnsi="Arial"/>
          <w:sz w:val="20"/>
          <w:szCs w:val="20"/>
        </w:rPr>
      </w:pPr>
      <w:r>
        <w:rPr>
          <w:rFonts w:ascii="Arial" w:cs="Arial" w:eastAsia="Arial" w:hAnsi="Arial"/>
          <w:b w:val="1"/>
          <w:bCs w:val="1"/>
          <w:sz w:val="20"/>
          <w:szCs w:val="20"/>
          <w:rtl w:val="0"/>
        </w:rPr>
        <w:t xml:space="preserve">Note:</w:t>
      </w:r>
      <w:r>
        <w:rPr>
          <w:rFonts w:ascii="Arial" w:cs="Arial" w:eastAsia="Arial" w:hAnsi="Arial"/>
          <w:sz w:val="20"/>
          <w:szCs w:val="20"/>
          <w:rtl w:val="0"/>
        </w:rPr>
        <w:t xml:space="preserve"> Highlight the major outcomes in form of bullet points </w:t>
      </w:r>
    </w:p>
    <w:p>
      <w:pPr>
        <w:spacing w:before="100" w:after="60"/>
        <w:ind w:left="0"/>
      </w:pPr>
      <w:r>
        <w:rPr>
          <w:rFonts w:ascii="Cambria" w:cs="Cambria" w:eastAsia="Cambria" w:hAnsi="Cambria"/>
          <w:b w:val="1"/>
          <w:bCs w:val="1"/>
          <w:sz w:val="24"/>
          <w:szCs w:val="24"/>
        </w:rPr>
        <w:t xml:space="preserve">Major outcomes from the dashboards:</w:t>
      </w:r>
    </w:p>
    <w:p>
      <w:pPr>
        <w:numPr>
          <w:ilvl w:val="0"/>
          <w:numId w:val="1"/>
        </w:numPr>
        <w:spacing w:after="0" w:before="240" w:line="240" w:lineRule="auto"/>
        <w:ind w:left="720" w:hanging="360"/>
        <w:rPr>
          <w:u w:val="none"/>
        </w:rPr>
      </w:pPr>
      <w:r>
        <w:rPr>
          <w:rFonts w:ascii="Cambria" w:cs="Cambria" w:eastAsia="Cambria" w:hAnsi="Cambria"/>
          <w:b w:val="1"/>
          <w:bCs w:val="1"/>
          <w:sz w:val="24"/>
          <w:szCs w:val="24"/>
        </w:rPr>
        <w:t xml:space="preserve">Sales by Vehicle Category: </w:t>
      </w:r>
      <w:r>
        <w:rPr>
          <w:rFonts w:ascii="Cambria" w:cs="Cambria" w:eastAsia="Cambria" w:hAnsi="Cambria"/>
          <w:sz w:val="24"/>
          <w:szCs w:val="24"/>
        </w:rPr>
        <w:t xml:space="preserve">Two-Wheeler Scooter, Compact SUV, Hatchback and Sedan are the top-selling categories at roughly 150M+ units each, while Electric Bus, Electric Truck and Pickup Truck sell the least. This shows that mass-market, affordable segments drive volume.</w:t>
      </w:r>
    </w:p>
    <w:p>
      <w:pPr>
        <w:numPr>
          <w:ilvl w:val="0"/>
          <w:numId w:val="1"/>
        </w:numPr>
        <w:spacing w:after="0" w:before="240" w:line="240" w:lineRule="auto"/>
        <w:ind w:left="720" w:hanging="360"/>
        <w:rPr>
          <w:u w:val="none"/>
        </w:rPr>
      </w:pPr>
      <w:r>
        <w:rPr>
          <w:rFonts w:ascii="Cambria" w:cs="Cambria" w:eastAsia="Cambria" w:hAnsi="Cambria"/>
          <w:b w:val="1"/>
          <w:bCs w:val="1"/>
          <w:sz w:val="24"/>
          <w:szCs w:val="24"/>
        </w:rPr>
        <w:t xml:space="preserve">Battery Technology Adoption: </w:t>
      </w:r>
      <w:r>
        <w:rPr>
          <w:rFonts w:ascii="Cambria" w:cs="Cambria" w:eastAsia="Cambria" w:hAnsi="Cambria"/>
          <w:sz w:val="24"/>
          <w:szCs w:val="24"/>
        </w:rPr>
        <w:t xml:space="preserve">NMC and LFP batteries dominate annual sales (about 450M-500M units each), NCA follows, and Sodium-Ion and Solid-State are still emerging technologies with much smaller volumes.</w:t>
      </w:r>
    </w:p>
    <w:p>
      <w:pPr>
        <w:numPr>
          <w:ilvl w:val="0"/>
          <w:numId w:val="1"/>
        </w:numPr>
        <w:spacing w:after="0" w:before="240" w:line="240" w:lineRule="auto"/>
        <w:ind w:left="720" w:hanging="360"/>
        <w:rPr>
          <w:u w:val="none"/>
        </w:rPr>
      </w:pPr>
      <w:r>
        <w:rPr>
          <w:rFonts w:ascii="Cambria" w:cs="Cambria" w:eastAsia="Cambria" w:hAnsi="Cambria"/>
          <w:b w:val="1"/>
          <w:bCs w:val="1"/>
          <w:sz w:val="24"/>
          <w:szCs w:val="24"/>
        </w:rPr>
        <w:t xml:space="preserve">Price vs Range: </w:t>
      </w:r>
      <w:r>
        <w:rPr>
          <w:rFonts w:ascii="Cambria" w:cs="Cambria" w:eastAsia="Cambria" w:hAnsi="Cambria"/>
          <w:sz w:val="24"/>
          <w:szCs w:val="24"/>
        </w:rPr>
        <w:t xml:space="preserve">Most vehicle categories are priced below about $100K with a range of 100-500 km, but a few premium or commercial categories cost $150K-$300K without a matching gain in range.</w:t>
      </w:r>
    </w:p>
    <w:p>
      <w:pPr>
        <w:numPr>
          <w:ilvl w:val="0"/>
          <w:numId w:val="1"/>
        </w:numPr>
        <w:spacing w:after="0" w:before="240" w:line="240" w:lineRule="auto"/>
        <w:ind w:left="720" w:hanging="360"/>
        <w:rPr>
          <w:u w:val="none"/>
        </w:rPr>
      </w:pPr>
      <w:r>
        <w:rPr>
          <w:rFonts w:ascii="Cambria" w:cs="Cambria" w:eastAsia="Cambria" w:hAnsi="Cambria"/>
          <w:b w:val="1"/>
          <w:bCs w:val="1"/>
          <w:sz w:val="24"/>
          <w:szCs w:val="24"/>
        </w:rPr>
        <w:t xml:space="preserve">Manufacturer Performance and Satisfaction: </w:t>
      </w:r>
      <w:r>
        <w:rPr>
          <w:rFonts w:ascii="Cambria" w:cs="Cambria" w:eastAsia="Cambria" w:hAnsi="Cambria"/>
          <w:sz w:val="24"/>
          <w:szCs w:val="24"/>
        </w:rPr>
        <w:t xml:space="preserve">The top 15 manufacturers sell about 8M-9M units each, with AmpereWorks slightly ahead, and their average customer ratings are very close (about 4.07 to 4.12), so competition is intense.</w:t>
      </w:r>
    </w:p>
    <w:p>
      <w:pPr>
        <w:numPr>
          <w:ilvl w:val="0"/>
          <w:numId w:val="1"/>
        </w:numPr>
        <w:spacing w:after="0" w:before="240" w:line="240" w:lineRule="auto"/>
        <w:ind w:left="720" w:hanging="360"/>
        <w:rPr>
          <w:u w:val="none"/>
        </w:rPr>
      </w:pPr>
      <w:r>
        <w:rPr>
          <w:rFonts w:ascii="Cambria" w:cs="Cambria" w:eastAsia="Cambria" w:hAnsi="Cambria"/>
          <w:b w:val="1"/>
          <w:bCs w:val="1"/>
          <w:sz w:val="24"/>
          <w:szCs w:val="24"/>
        </w:rPr>
        <w:t xml:space="preserve">Charging, Range and Degradation Trends: </w:t>
      </w:r>
      <w:r>
        <w:rPr>
          <w:rFonts w:ascii="Cambria" w:cs="Cambria" w:eastAsia="Cambria" w:hAnsi="Cambria"/>
          <w:sz w:val="24"/>
          <w:szCs w:val="24"/>
        </w:rPr>
        <w:t xml:space="preserve">Fast-charging time varies by battery type, with Solid-State and Sodium-Ion the shortest. Average range has stayed almost flat from 2018 to 2026, and battery degradation differs by battery type and charging power.</w:t>
      </w:r>
    </w:p>
    <w:p w:rsidR="00000000" w:rsidDel="00000000" w:rsidP="00000000" w:rsidRDefault="00000000" w:rsidRPr="00000000" w14:paraId="00000021">
      <w:pPr>
        <w:spacing w:after="240" w:before="240" w:line="240" w:lineRule="auto"/>
        <w:rPr/>
      </w:pPr>
      <w:r>
        <w:rPr>
          <w:rtl w:val="0"/>
        </w:rPr>
      </w:r>
    </w:p>
    <w:p w:rsidR="00000000" w:rsidDel="00000000" w:rsidP="00000000" w:rsidRDefault="00000000" w:rsidRPr="00000000" w14:paraId="00000022">
      <w:pPr>
        <w:spacing w:after="240" w:before="240" w:line="240" w:lineRule="auto"/>
        <w:rPr/>
      </w:pPr>
      <w:r>
        <w:rPr>
          <w:rtl w:val="0"/>
        </w:rPr>
      </w:r>
    </w:p>
    <w:p w:rsidR="00000000" w:rsidDel="00000000" w:rsidP="00000000" w:rsidRDefault="00000000" w:rsidRPr="00000000" w14:paraId="00000023">
      <w:pPr>
        <w:spacing w:after="200" w:line="240" w:lineRule="auto"/>
        <w:rPr>
          <w:b w:val="1"/>
          <w:bCs w:val="1"/>
          <w:sz w:val="28"/>
          <w:szCs w:val="28"/>
        </w:rPr>
      </w:pPr>
      <w:r>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Pr>
          <w:sz w:val="28"/>
          <w:szCs w:val="28"/>
          <w:rtl w:val="0"/>
        </w:rPr>
        <w:t xml:space="preserve">Publish Dashboard on Tableau Public and Paste the Dashboard Public link below:</w:t>
      </w:r>
    </w:p>
    <w:p>
      <w:pPr>
        <w:spacing w:before="0" w:after="60"/>
        <w:ind w:left="0"/>
      </w:pPr>
      <w:r>
        <w:rPr>
          <w:rFonts w:ascii="Cambria" w:cs="Cambria" w:eastAsia="Cambria" w:hAnsi="Cambria"/>
          <w:b w:val="1"/>
          <w:bCs w:val="1"/>
          <w:sz w:val="24"/>
          <w:szCs w:val="24"/>
        </w:rPr>
        <w:t xml:space="preserve">Tableau Public link: </w:t>
      </w:r>
      <w:r>
        <w:rPr>
          <w:rFonts w:ascii="Cambria" w:cs="Cambria" w:eastAsia="Cambria" w:hAnsi="Cambria"/>
          <w:sz w:val="24"/>
          <w:szCs w:val="24"/>
        </w:rPr>
        <w:t xml:space="preserve">&lt;paste your published dashboard link here&gt;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D1" Type="http://schemas.openxmlformats.org/officeDocument/2006/relationships/image" Target="media/dash1.png"/><Relationship Id="rIdD2" Type="http://schemas.openxmlformats.org/officeDocument/2006/relationships/image" Target="media/dash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