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sz w:val="18"/>
                <w:rtl w:val="0"/>
              </w:rPr>
              <w:t xml:space="preserve">Date</w:t>
            </w:r>
          </w:p>
        </w:tc>
        <w:tc>
          <w:tcPr/>
          <w:p w:rsidR="00000000" w:rsidDel="00000000" w:rsidP="00000000" w:rsidRDefault="00000000" w:rsidRPr="00000000" w14:paraId="00000005">
            <w:pPr>
              <w:rPr/>
            </w:pPr>
            <w:r w:rsidDel="00000000" w:rsidR="00000000" w:rsidRPr="00000000">
              <w:rPr>
                <w:sz w:val="18"/>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sz w:val="18"/>
                <w:rtl w:val="0"/>
              </w:rPr>
              <w:t xml:space="preserve">Team ID</w:t>
            </w:r>
          </w:p>
        </w:tc>
        <w:tc>
          <w:tcPr/>
          <w:p>
            <w:r>
              <w:rPr>
                <w:sz w:val="18"/>
              </w:rPr>
              <w:t>EN25CS3010405</w:t>
            </w:r>
          </w:p>
        </w:tc>
      </w:tr>
      <w:tr>
        <w:trPr>
          <w:cantSplit w:val="0"/>
          <w:tblHeader w:val="0"/>
        </w:trPr>
        <w:tc>
          <w:tcPr/>
          <w:p w:rsidR="00000000" w:rsidDel="00000000" w:rsidP="00000000" w:rsidRDefault="00000000" w:rsidRPr="00000000" w14:paraId="00000008">
            <w:pPr>
              <w:rPr/>
            </w:pPr>
            <w:r w:rsidDel="00000000" w:rsidR="00000000" w:rsidRPr="00000000">
              <w:rPr>
                <w:sz w:val="18"/>
                <w:rtl w:val="0"/>
              </w:rPr>
              <w:t xml:space="preserve">Project Name</w:t>
            </w:r>
          </w:p>
        </w:tc>
        <w:tc>
          <w:tcPr/>
          <w:p>
            <w:r>
              <w:rPr>
                <w:sz w:val="18"/>
              </w:rPr>
              <w:t>Electric Vehicle Market Performance &amp; Insights</w:t>
            </w:r>
          </w:p>
        </w:tc>
      </w:tr>
      <w:tr>
        <w:trPr>
          <w:cantSplit w:val="0"/>
          <w:tblHeader w:val="0"/>
        </w:trPr>
        <w:tc>
          <w:tcPr/>
          <w:p w:rsidR="00000000" w:rsidDel="00000000" w:rsidP="00000000" w:rsidRDefault="00000000" w:rsidRPr="00000000" w14:paraId="0000000A">
            <w:pPr>
              <w:rPr/>
            </w:pPr>
            <w:r w:rsidDel="00000000" w:rsidR="00000000" w:rsidRPr="00000000">
              <w:rPr>
                <w:sz w:val="18"/>
                <w:rtl w:val="0"/>
              </w:rPr>
              <w:t xml:space="preserve">Maximum Marks</w:t>
            </w:r>
          </w:p>
        </w:tc>
        <w:tc>
          <w:tcPr/>
          <w:p w:rsidR="00000000" w:rsidDel="00000000" w:rsidP="00000000" w:rsidRDefault="00000000" w:rsidRPr="00000000" w14:paraId="0000000B">
            <w:pPr>
              <w:rPr/>
            </w:pPr>
            <w:r w:rsidDel="00000000" w:rsidR="00000000" w:rsidRPr="00000000">
              <w:rPr>
                <w:sz w:val="18"/>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pPr>
              <w:spacing w:after="40"/>
            </w:pPr>
            <w:r>
              <w:rPr>
                <w:sz w:val="16"/>
              </w:rPr>
              <w:t>PS-1</w:t>
            </w:r>
          </w:p>
        </w:tc>
        <w:tc>
          <w:tcPr/>
          <w:p>
            <w:pPr>
              <w:spacing w:after="40"/>
            </w:pPr>
            <w:r>
              <w:rPr>
                <w:sz w:val="16"/>
              </w:rPr>
              <w:t>Potential EV buyer</w:t>
            </w:r>
          </w:p>
        </w:tc>
        <w:tc>
          <w:tcPr/>
          <w:p>
            <w:pPr>
              <w:spacing w:after="40"/>
            </w:pPr>
            <w:r>
              <w:rPr>
                <w:sz w:val="16"/>
              </w:rPr>
              <w:t>A customer comparing electric vehicles</w:t>
            </w:r>
          </w:p>
        </w:tc>
        <w:tc>
          <w:tcPr/>
          <w:p>
            <w:pPr>
              <w:spacing w:after="40"/>
            </w:pPr>
            <w:r>
              <w:rPr>
                <w:sz w:val="16"/>
              </w:rPr>
              <w:t>Find an affordable EV with suitable range, charging access, and low running costs</w:t>
            </w:r>
          </w:p>
        </w:tc>
        <w:tc>
          <w:tcPr/>
          <w:p>
            <w:pPr>
              <w:spacing w:after="40"/>
            </w:pPr>
            <w:r>
              <w:rPr>
                <w:sz w:val="16"/>
              </w:rPr>
              <w:t>It is difficult to compare real-world range, battery performance, total ownership cost, and charging availability across brands</w:t>
            </w:r>
          </w:p>
        </w:tc>
        <w:tc>
          <w:tcPr/>
          <w:p>
            <w:pPr>
              <w:spacing w:after="40"/>
            </w:pPr>
            <w:r>
              <w:rPr>
                <w:sz w:val="16"/>
              </w:rPr>
              <w:t>Reliable, standardized market and vehicle information is scattered across different sources</w:t>
            </w:r>
          </w:p>
        </w:tc>
      </w:tr>
      <w:tr>
        <w:trPr>
          <w:cantSplit w:val="0"/>
          <w:tblHeader w:val="0"/>
        </w:trPr>
        <w:tc>
          <w:tcPr/>
          <w:p>
            <w:pPr>
              <w:spacing w:after="40"/>
            </w:pPr>
            <w:r>
              <w:rPr>
                <w:sz w:val="16"/>
              </w:rPr>
              <w:t>PS-2</w:t>
            </w:r>
          </w:p>
        </w:tc>
        <w:tc>
          <w:tcPr/>
          <w:p>
            <w:pPr>
              <w:spacing w:after="40"/>
            </w:pPr>
            <w:r>
              <w:rPr>
                <w:sz w:val="16"/>
              </w:rPr>
              <w:t>EV dealer / market analyst</w:t>
            </w:r>
          </w:p>
        </w:tc>
        <w:tc>
          <w:tcPr/>
          <w:p>
            <w:pPr>
              <w:spacing w:after="40"/>
            </w:pPr>
            <w:r>
              <w:rPr>
                <w:sz w:val="16"/>
              </w:rPr>
              <w:t>A dealer or analyst tracking EV market performance</w:t>
            </w:r>
          </w:p>
        </w:tc>
        <w:tc>
          <w:tcPr/>
          <w:p>
            <w:pPr>
              <w:spacing w:after="40"/>
            </w:pPr>
            <w:r>
              <w:rPr>
                <w:sz w:val="16"/>
              </w:rPr>
              <w:t>Understand demand trends, popular models, price changes, and regional adoption</w:t>
            </w:r>
          </w:p>
        </w:tc>
        <w:tc>
          <w:tcPr/>
          <w:p>
            <w:pPr>
              <w:spacing w:after="40"/>
            </w:pPr>
            <w:r>
              <w:rPr>
                <w:sz w:val="16"/>
              </w:rPr>
              <w:t>Sales, pricing, and adoption data are often fragmented and difficult to compare over time</w:t>
            </w:r>
          </w:p>
        </w:tc>
        <w:tc>
          <w:tcPr/>
          <w:p>
            <w:pPr>
              <w:spacing w:after="40"/>
            </w:pPr>
            <w:r>
              <w:rPr>
                <w:sz w:val="16"/>
              </w:rPr>
              <w:t>There is no single, easy-to-read view of key EV market indicators and competitor performance</w:t>
            </w:r>
          </w:p>
        </w:tc>
      </w:tr>
    </w:tbl>
    <w:p w:rsidR="00000000" w:rsidDel="00000000" w:rsidP="00000000" w:rsidRDefault="00000000" w:rsidRPr="00000000" w14:paraId="00000026">
      <w:pPr>
        <w:rPr>
          <w:sz w:val="24"/>
          <w:szCs w:val="24"/>
        </w:rPr>
      </w:pPr>
      <w:r w:rsidDel="00000000" w:rsidR="00000000" w:rsidRPr="00000000">
        <w:rPr>
          <w:rtl w:val="0"/>
        </w:rPr>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