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8"/>
              </w:rPr>
              <w:t>EN25CS3010405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sz w:val="18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Individual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Analyze EV sales trends by year and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Market Trends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Individual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Compare electric vehicle types and manufacturers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Individual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Identify top-performing states and cities for EV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Geographic 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Individual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Compare EV adoption with charging infrastructure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Infrastructure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Analyze EV sales trends by year and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Compare electric vehicle types and manufacturers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Identify top-performing states and cities for EV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