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Proposal (Proposed Solution)</w:t>
      </w:r>
    </w:p>
    <w:p>
      <w:pPr>
        <w:jc w:val="center"/>
      </w:pPr>
      <w:r>
        <w:rPr>
          <w:i/>
          <w:sz w:val="20"/>
        </w:rPr>
        <w:t>Global Fuel Prices and Taxation Trends (2020–2026)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sz w:val="18"/>
              </w:rPr>
              <w:t>Student</w:t>
            </w:r>
          </w:p>
        </w:tc>
        <w:tc>
          <w:tcPr>
            <w:tcW w:type="dxa" w:w="5112"/>
            <w:vAlign w:val="center"/>
          </w:tcPr>
          <w:p>
            <w:r>
              <w:rPr>
                <w:rFonts w:ascii="Arial" w:hAnsi="Arial"/>
                <w:sz w:val="18"/>
              </w:rPr>
              <w:t>Nazia Khan</w:t>
            </w:r>
          </w:p>
        </w:tc>
      </w:tr>
      <w:tr>
        <w:tc>
          <w:tcPr>
            <w:tcW w:type="dxa" w:w="5112"/>
            <w:vAlign w:val="center"/>
          </w:tcPr>
          <w:p>
            <w:r>
              <w:rPr>
                <w:rFonts w:ascii="Arial" w:hAnsi="Arial"/>
                <w:sz w:val="18"/>
              </w:rPr>
              <w:t>Project Name</w:t>
            </w:r>
          </w:p>
        </w:tc>
        <w:tc>
          <w:tcPr>
            <w:tcW w:type="dxa" w:w="5112"/>
            <w:vAlign w:val="center"/>
          </w:tcPr>
          <w:p>
            <w:r>
              <w:rPr>
                <w:rFonts w:ascii="Arial" w:hAnsi="Arial"/>
                <w:sz w:val="18"/>
              </w:rPr>
              <w:t>Global Fuel Prices and Taxation Trends (2020–2026)</w:t>
            </w:r>
          </w:p>
        </w:tc>
      </w:tr>
      <w:tr>
        <w:tc>
          <w:tcPr>
            <w:tcW w:type="dxa" w:w="5112"/>
            <w:vAlign w:val="center"/>
          </w:tcPr>
          <w:p>
            <w:r>
              <w:rPr>
                <w:rFonts w:ascii="Arial" w:hAnsi="Arial"/>
                <w:sz w:val="18"/>
              </w:rPr>
              <w:t>Project Type</w:t>
            </w:r>
          </w:p>
        </w:tc>
        <w:tc>
          <w:tcPr>
            <w:tcW w:type="dxa" w:w="5112"/>
            <w:vAlign w:val="center"/>
          </w:tcPr>
          <w:p>
            <w:r>
              <w:rPr>
                <w:rFonts w:ascii="Arial" w:hAnsi="Arial"/>
                <w:sz w:val="18"/>
              </w:rPr>
              <w:t>Individual project</w:t>
            </w:r>
          </w:p>
        </w:tc>
      </w:tr>
      <w:tr>
        <w:tc>
          <w:tcPr>
            <w:tcW w:type="dxa" w:w="5112"/>
            <w:vAlign w:val="center"/>
          </w:tcPr>
          <w:p>
            <w:r>
              <w:rPr>
                <w:rFonts w:ascii="Arial" w:hAnsi="Arial"/>
                <w:sz w:val="18"/>
              </w:rPr>
              <w:t>Date</w:t>
            </w:r>
          </w:p>
        </w:tc>
        <w:tc>
          <w:tcPr>
            <w:tcW w:type="dxa" w:w="5112"/>
            <w:vAlign w:val="center"/>
          </w:tcPr>
          <w:p>
            <w:r>
              <w:rPr>
                <w:rFonts w:ascii="Arial" w:hAnsi="Arial"/>
                <w:sz w:val="18"/>
              </w:rPr>
              <w:t>29 October 2026</w:t>
            </w:r>
          </w:p>
        </w:tc>
      </w:tr>
      <w:tr>
        <w:tc>
          <w:tcPr>
            <w:tcW w:type="dxa" w:w="5112"/>
            <w:vAlign w:val="center"/>
          </w:tcPr>
          <w:p>
            <w:r>
              <w:rPr>
                <w:rFonts w:ascii="Arial" w:hAnsi="Arial"/>
                <w:sz w:val="18"/>
              </w:rPr>
              <w:t>Maximum Marks</w:t>
            </w:r>
          </w:p>
        </w:tc>
        <w:tc>
          <w:tcPr>
            <w:tcW w:type="dxa" w:w="5112"/>
            <w:vAlign w:val="center"/>
          </w:tcPr>
          <w:p>
            <w:r>
              <w:rPr>
                <w:rFonts w:ascii="Arial" w:hAnsi="Arial"/>
                <w:sz w:val="18"/>
              </w:rPr>
              <w:t>3 Marks</w:t>
            </w:r>
          </w:p>
        </w:tc>
      </w:tr>
    </w:tbl>
    <w:p/>
    <w:p>
      <w:pPr>
        <w:pStyle w:val="Heading1"/>
      </w:pPr>
      <w:r>
        <w:t>1. Project Overview</w:t>
      </w:r>
    </w:p>
    <w:p>
      <w:pPr>
        <w:pStyle w:val="Heading2"/>
      </w:pPr>
      <w:r>
        <w:t>Objective</w:t>
      </w:r>
    </w:p>
    <w:p>
      <w:r>
        <w:t>To explore global fuel-price and taxation trends from January 2020 to April 2026 using the supplied dataset and Tableau visualizations, supporting comparisons across countries, regions, and income levels.</w:t>
      </w:r>
    </w:p>
    <w:p>
      <w:pPr>
        <w:pStyle w:val="Heading2"/>
      </w:pPr>
      <w:r>
        <w:t>Scope</w:t>
      </w:r>
    </w:p>
    <w:p>
      <w:r>
        <w:t>The work covers dataset review, preparation as needed, exploratory analysis, ten Tableau worksheets, an interactive dashboard, a Tableau story, publishing to Tableau Public (reported complete; public link to be verified), GitHub storage, and documentation. Forecasting and causal evaluation of subsidies are outside the confirmed completed scope.</w:t>
      </w:r>
    </w:p>
    <w:p>
      <w:pPr>
        <w:pStyle w:val="Heading1"/>
      </w:pPr>
      <w:r>
        <w:t>2. Problem Statement</w:t>
      </w:r>
    </w:p>
    <w:p>
      <w:r>
        <w:t>Fuel prices and tax levels differ between countries and regions and change over time. Decision-makers need clear, comparable visualizations to explore these differences and investigate relationships among fuel prices, crude oil prices, tax percentage, and income level.</w:t>
      </w:r>
    </w:p>
    <w:p>
      <w:pPr>
        <w:pStyle w:val="Heading2"/>
      </w:pPr>
      <w:r>
        <w:t>Impact</w:t>
      </w:r>
    </w:p>
    <w:p>
      <w:r>
        <w:t>A structured visual analysis can make historical patterns and cross-country differences easier to inspect. It can support discussion and further investigation, but it cannot by itself establish causation or prove subsidy effects.</w:t>
      </w:r>
    </w:p>
    <w:p>
      <w:pPr>
        <w:pStyle w:val="Heading1"/>
      </w:pPr>
      <w:r>
        <w:t>3. Proposed Solution</w:t>
      </w:r>
    </w:p>
    <w:p>
      <w:r>
        <w:t>Use Tableau to build and present views based on the available dataset. The current workbook contains ten worksheets, a dashboard named “Global Fuel Prices Dashboard,” and a story named “Global Fuel Prices – Story.”</w:t>
      </w:r>
    </w:p>
    <w:p>
      <w:pPr>
        <w:pStyle w:val="Heading2"/>
      </w:pPr>
      <w:r>
        <w:t>Key Features</w:t>
      </w:r>
    </w:p>
    <w:p>
      <w:pPr>
        <w:pStyle w:val="ListBullet"/>
      </w:pPr>
      <w:r>
        <w:t>Time-trend views for LPG and petrol prices.</w:t>
      </w:r>
    </w:p>
    <w:p>
      <w:pPr>
        <w:pStyle w:val="ListBullet"/>
      </w:pPr>
      <w:r>
        <w:t>Country-level comparisons for LPG, petrol, and tax percentage.</w:t>
      </w:r>
    </w:p>
    <w:p>
      <w:pPr>
        <w:pStyle w:val="ListBullet"/>
      </w:pPr>
      <w:r>
        <w:t>Regional LPG treemap.</w:t>
      </w:r>
    </w:p>
    <w:p>
      <w:pPr>
        <w:pStyle w:val="ListBullet"/>
      </w:pPr>
      <w:r>
        <w:t>Petrol and Brent crude trend comparison.</w:t>
      </w:r>
    </w:p>
    <w:p>
      <w:pPr>
        <w:pStyle w:val="ListBullet"/>
      </w:pPr>
      <w:r>
        <w:t>Income-level comparison and tax-versus-petrol scatter plot.</w:t>
      </w:r>
    </w:p>
    <w:p>
      <w:pPr>
        <w:pStyle w:val="ListBullet"/>
      </w:pPr>
      <w:r>
        <w:t>Dashboard with country/region filters (verify behavior before submission).</w:t>
      </w:r>
    </w:p>
    <w:p>
      <w:pPr>
        <w:pStyle w:val="ListBullet"/>
      </w:pPr>
      <w:r>
        <w:t>Tableau story presenting the dashboard and selected charts.</w:t>
      </w:r>
    </w:p>
    <w:p>
      <w:pPr>
        <w:pStyle w:val="Heading1"/>
      </w:pPr>
      <w:r>
        <w:t>4. Resource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b/>
                <w:sz w:val="18"/>
              </w:rPr>
              <w:t>Resource Type</w:t>
            </w:r>
          </w:p>
        </w:tc>
        <w:tc>
          <w:tcPr>
            <w:tcW w:type="dxa" w:w="3408"/>
            <w:vAlign w:val="center"/>
          </w:tcPr>
          <w:p>
            <w:r>
              <w:rPr>
                <w:rFonts w:ascii="Arial" w:hAnsi="Arial"/>
                <w:b/>
                <w:sz w:val="18"/>
              </w:rPr>
              <w:t>Description</w:t>
            </w:r>
          </w:p>
        </w:tc>
        <w:tc>
          <w:tcPr>
            <w:tcW w:type="dxa" w:w="3408"/>
            <w:vAlign w:val="center"/>
          </w:tcPr>
          <w:p>
            <w:r>
              <w:rPr>
                <w:rFonts w:ascii="Arial" w:hAnsi="Arial"/>
                <w:b/>
                <w:sz w:val="18"/>
              </w:rPr>
              <w:t>Specification / Allocation</w:t>
            </w:r>
          </w:p>
        </w:tc>
      </w:tr>
      <w:tr>
        <w:tc>
          <w:tcPr>
            <w:tcW w:type="dxa" w:w="3408"/>
            <w:vAlign w:val="center"/>
          </w:tcPr>
          <w:p>
            <w:r>
              <w:rPr>
                <w:rFonts w:ascii="Arial" w:hAnsi="Arial"/>
                <w:sz w:val="18"/>
              </w:rPr>
              <w:t>Hardware</w:t>
            </w:r>
          </w:p>
        </w:tc>
        <w:tc>
          <w:tcPr>
            <w:tcW w:type="dxa" w:w="3408"/>
            <w:vAlign w:val="center"/>
          </w:tcPr>
          <w:p>
            <w:r>
              <w:rPr>
                <w:rFonts w:ascii="Arial" w:hAnsi="Arial"/>
                <w:sz w:val="18"/>
              </w:rPr>
              <w:t>Personal computer/laptop</w:t>
            </w:r>
          </w:p>
        </w:tc>
        <w:tc>
          <w:tcPr>
            <w:tcW w:type="dxa" w:w="3408"/>
            <w:vAlign w:val="center"/>
          </w:tcPr>
          <w:p>
            <w:r>
              <w:rPr>
                <w:rFonts w:ascii="Arial" w:hAnsi="Arial"/>
                <w:sz w:val="18"/>
              </w:rPr>
              <w:t>Existing device used for Tableau; exact specifications not supplied.</w:t>
            </w:r>
          </w:p>
        </w:tc>
      </w:tr>
      <w:tr>
        <w:tc>
          <w:tcPr>
            <w:tcW w:type="dxa" w:w="3408"/>
            <w:vAlign w:val="center"/>
          </w:tcPr>
          <w:p>
            <w:r>
              <w:rPr>
                <w:rFonts w:ascii="Arial" w:hAnsi="Arial"/>
                <w:sz w:val="18"/>
              </w:rPr>
              <w:t>Memory / Storage</w:t>
            </w:r>
          </w:p>
        </w:tc>
        <w:tc>
          <w:tcPr>
            <w:tcW w:type="dxa" w:w="3408"/>
            <w:vAlign w:val="center"/>
          </w:tcPr>
          <w:p>
            <w:r>
              <w:rPr>
                <w:rFonts w:ascii="Arial" w:hAnsi="Arial"/>
                <w:sz w:val="18"/>
              </w:rPr>
              <w:t>RAM and disk space</w:t>
            </w:r>
          </w:p>
        </w:tc>
        <w:tc>
          <w:tcPr>
            <w:tcW w:type="dxa" w:w="3408"/>
            <w:vAlign w:val="center"/>
          </w:tcPr>
          <w:p>
            <w:r>
              <w:rPr>
                <w:rFonts w:ascii="Arial" w:hAnsi="Arial"/>
                <w:sz w:val="18"/>
              </w:rPr>
              <w:t>Existing computer; exact specifications not supplied.</w:t>
            </w:r>
          </w:p>
        </w:tc>
      </w:tr>
      <w:tr>
        <w:tc>
          <w:tcPr>
            <w:tcW w:type="dxa" w:w="3408"/>
            <w:vAlign w:val="center"/>
          </w:tcPr>
          <w:p>
            <w:r>
              <w:rPr>
                <w:rFonts w:ascii="Arial" w:hAnsi="Arial"/>
                <w:sz w:val="18"/>
              </w:rPr>
              <w:t>Software</w:t>
            </w:r>
          </w:p>
        </w:tc>
        <w:tc>
          <w:tcPr>
            <w:tcW w:type="dxa" w:w="3408"/>
            <w:vAlign w:val="center"/>
          </w:tcPr>
          <w:p>
            <w:r>
              <w:rPr>
                <w:rFonts w:ascii="Arial" w:hAnsi="Arial"/>
                <w:sz w:val="18"/>
              </w:rPr>
              <w:t>Visualization and publishing</w:t>
            </w:r>
          </w:p>
        </w:tc>
        <w:tc>
          <w:tcPr>
            <w:tcW w:type="dxa" w:w="3408"/>
            <w:vAlign w:val="center"/>
          </w:tcPr>
          <w:p>
            <w:r>
              <w:rPr>
                <w:rFonts w:ascii="Arial" w:hAnsi="Arial"/>
                <w:sz w:val="18"/>
              </w:rPr>
              <w:t>Tableau Desktop 2026.3.0; Tableau Public publishing reported complete, link to be verified.</w:t>
            </w:r>
          </w:p>
        </w:tc>
      </w:tr>
      <w:tr>
        <w:tc>
          <w:tcPr>
            <w:tcW w:type="dxa" w:w="3408"/>
            <w:vAlign w:val="center"/>
          </w:tcPr>
          <w:p>
            <w:r>
              <w:rPr>
                <w:rFonts w:ascii="Arial" w:hAnsi="Arial"/>
                <w:sz w:val="18"/>
              </w:rPr>
              <w:t>Development Environment</w:t>
            </w:r>
          </w:p>
        </w:tc>
        <w:tc>
          <w:tcPr>
            <w:tcW w:type="dxa" w:w="3408"/>
            <w:vAlign w:val="center"/>
          </w:tcPr>
          <w:p>
            <w:r>
              <w:rPr>
                <w:rFonts w:ascii="Arial" w:hAnsi="Arial"/>
                <w:sz w:val="18"/>
              </w:rPr>
              <w:t>Documentation and version control</w:t>
            </w:r>
          </w:p>
        </w:tc>
        <w:tc>
          <w:tcPr>
            <w:tcW w:type="dxa" w:w="3408"/>
            <w:vAlign w:val="center"/>
          </w:tcPr>
          <w:p>
            <w:r>
              <w:rPr>
                <w:rFonts w:ascii="Arial" w:hAnsi="Arial"/>
                <w:sz w:val="18"/>
              </w:rPr>
              <w:t>Microsoft Word-compatible DOCX files and GitHub repository.</w:t>
            </w:r>
          </w:p>
        </w:tc>
      </w:tr>
      <w:tr>
        <w:tc>
          <w:tcPr>
            <w:tcW w:type="dxa" w:w="3408"/>
            <w:vAlign w:val="center"/>
          </w:tcPr>
          <w:p>
            <w:r>
              <w:rPr>
                <w:rFonts w:ascii="Arial" w:hAnsi="Arial"/>
                <w:sz w:val="18"/>
              </w:rPr>
              <w:t>Data</w:t>
            </w:r>
          </w:p>
        </w:tc>
        <w:tc>
          <w:tcPr>
            <w:tcW w:type="dxa" w:w="3408"/>
            <w:vAlign w:val="center"/>
          </w:tcPr>
          <w:p>
            <w:r>
              <w:rPr>
                <w:rFonts w:ascii="Arial" w:hAnsi="Arial"/>
                <w:sz w:val="18"/>
              </w:rPr>
              <w:t>Fuel prices and taxation dataset</w:t>
            </w:r>
          </w:p>
        </w:tc>
        <w:tc>
          <w:tcPr>
            <w:tcW w:type="dxa" w:w="3408"/>
            <w:vAlign w:val="center"/>
          </w:tcPr>
          <w:p>
            <w:r>
              <w:rPr>
                <w:rFonts w:ascii="Arial" w:hAnsi="Arial"/>
                <w:sz w:val="18"/>
              </w:rPr>
              <w:t>Reported 27,468 records, 84 countries, 7 regions, 10 columns, about 2.7 MB; January 2020–April 2026.</w:t>
            </w:r>
          </w:p>
        </w:tc>
      </w:tr>
      <w:tr>
        <w:tc>
          <w:tcPr>
            <w:tcW w:type="dxa" w:w="3408"/>
            <w:vAlign w:val="center"/>
          </w:tcPr>
          <w:p>
            <w:r>
              <w:rPr>
                <w:rFonts w:ascii="Arial" w:hAnsi="Arial"/>
                <w:sz w:val="18"/>
              </w:rPr>
              <w:t>Personnel</w:t>
            </w:r>
          </w:p>
        </w:tc>
        <w:tc>
          <w:tcPr>
            <w:tcW w:type="dxa" w:w="3408"/>
            <w:vAlign w:val="center"/>
          </w:tcPr>
          <w:p>
            <w:r>
              <w:rPr>
                <w:rFonts w:ascii="Arial" w:hAnsi="Arial"/>
                <w:sz w:val="18"/>
              </w:rPr>
              <w:t>Project work</w:t>
            </w:r>
          </w:p>
        </w:tc>
        <w:tc>
          <w:tcPr>
            <w:tcW w:type="dxa" w:w="3408"/>
            <w:vAlign w:val="center"/>
          </w:tcPr>
          <w:p>
            <w:r>
              <w:rPr>
                <w:rFonts w:ascii="Arial" w:hAnsi="Arial"/>
                <w:sz w:val="18"/>
              </w:rPr>
              <w:t>Individual project completed by Nazia Khan.</w:t>
            </w:r>
          </w:p>
        </w:tc>
      </w:tr>
    </w:tbl>
    <w:p/>
    <w:p>
      <w:pPr>
        <w:pStyle w:val="Heading1"/>
      </w:pPr>
      <w:r>
        <w:t>5. Stakeholder Scenarios</w:t>
      </w:r>
    </w:p>
    <w:p>
      <w:pPr>
        <w:pStyle w:val="Heading2"/>
      </w:pPr>
      <w:r>
        <w:t>Scenario 1 — Dr. Sarah Mitchell, Energy Policy Consultant</w:t>
      </w:r>
    </w:p>
    <w:p>
      <w:r>
        <w:t>Compare regional fuel-price trends and tax-policy differences, and explore how subsidies may relate to fuel prices. The analysis can inform discussion of equitable and sustainable policy, but the dataset and charts alone do not prove that taxes or subsidies cause a price change.</w:t>
      </w:r>
    </w:p>
    <w:p>
      <w:pPr>
        <w:pStyle w:val="Heading2"/>
      </w:pPr>
      <w:r>
        <w:t>Scenario 2 — Marcus Thompson, Global Supply Chain Manager</w:t>
      </w:r>
    </w:p>
    <w:p>
      <w:r>
        <w:t>Compare fuel prices across countries and regions, examine historical trends and visible volatility, and consider implications for transport costs and procurement. Forecasting is not claimed as completed because no validated forecasting model has been confirmed.</w:t>
      </w:r>
    </w:p>
    <w:p>
      <w:pPr>
        <w:pStyle w:val="Heading2"/>
      </w:pPr>
      <w:r>
        <w:t>Scenario 3 — Professor Elena Rodriguez, Energy Economics Researcher</w:t>
      </w:r>
    </w:p>
    <w:p>
      <w:r>
        <w:t>Explore associations between fuel prices, taxation, income levels, and affordability. Interpret scatter plots and comparisons as associations, not proof of causation; subsidy-specific conclusions require a confirmed subsidy field or other supporting evidence.</w:t>
      </w:r>
    </w:p>
    <w:p>
      <w:pPr>
        <w:pStyle w:val="Heading1"/>
      </w:pPr>
      <w:r>
        <w:t>6. Dataset Fields Confirmed So Far</w:t>
      </w:r>
    </w:p>
    <w:p>
      <w:pPr>
        <w:pStyle w:val="ListBullet"/>
      </w:pPr>
      <w:r>
        <w:t>Reported dataset size: 27,468 records, 84 countries, 7 global regions, 10 columns, approximately 2.7 MB.</w:t>
      </w:r>
    </w:p>
    <w:p>
      <w:pPr>
        <w:pStyle w:val="ListBullet"/>
      </w:pPr>
      <w:r>
        <w:t>Reported date coverage: January 2020 to April 2026.</w:t>
      </w:r>
    </w:p>
    <w:p>
      <w:pPr>
        <w:pStyle w:val="ListBullet"/>
      </w:pPr>
      <w:r>
        <w:t>Fields confirmed from the handover: Date, Country, Region, Income Level, Lpg Usd Liter, Brent Crude Usd, Tax Percentage, Diesel Usd Liter, and a petrol field displayed in Tableau as AVG(Petrol used liter). Confirm the exact petrol field spelling in the data pane before final submission.</w:t>
      </w:r>
    </w:p>
    <w:p>
      <w:pPr>
        <w:pStyle w:val="ListBullet"/>
      </w:pPr>
      <w:r>
        <w:t>The tenth column has not been identified in the handover; do not assume its name.</w:t>
      </w:r>
    </w:p>
    <w:p>
      <w:pPr>
        <w:pStyle w:val="Heading1"/>
      </w:pPr>
      <w:r>
        <w:t>7. Deliverables and Pending Verification</w:t>
      </w:r>
    </w:p>
    <w:p>
      <w:pPr>
        <w:pStyle w:val="ListBullet"/>
      </w:pPr>
      <w:r>
        <w:t>Existing Tableau workbook (.twbx), ten worksheets, dashboard, and story.</w:t>
      </w:r>
    </w:p>
    <w:p>
      <w:pPr>
        <w:pStyle w:val="ListBullet"/>
      </w:pPr>
      <w:r>
        <w:t>GitHub repository containing the workbook; repository URL and required additional files still need checking.</w:t>
      </w:r>
    </w:p>
    <w:p>
      <w:pPr>
        <w:pStyle w:val="ListBullet"/>
      </w:pPr>
      <w:r>
        <w:t>Verify public Tableau link, filter behavior, chart labels, and workbook correctness.</w:t>
      </w:r>
    </w:p>
    <w:p>
      <w:pPr>
        <w:pStyle w:val="ListBullet"/>
      </w:pPr>
      <w:r>
        <w:t>Add genuine screenshots/outputs and final links to the final report when available.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