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Solution Architecture</w:t>
      </w:r>
    </w:p>
    <w:p>
      <w:pPr>
        <w:jc w:val="center"/>
      </w:pPr>
      <w:r>
        <w:rPr>
          <w:i/>
          <w:sz w:val="20"/>
        </w:rPr>
        <w:t>Global Fuel Prices and Taxation Trends (2020–2026)</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Arial" w:hAnsi="Arial"/>
                <w:sz w:val="18"/>
              </w:rPr>
              <w:t>Student</w:t>
            </w:r>
          </w:p>
        </w:tc>
        <w:tc>
          <w:tcPr>
            <w:tcW w:type="dxa" w:w="5112"/>
            <w:vAlign w:val="center"/>
          </w:tcPr>
          <w:p>
            <w:r>
              <w:rPr>
                <w:rFonts w:ascii="Arial" w:hAnsi="Arial"/>
                <w:sz w:val="18"/>
              </w:rPr>
              <w:t>Nazia Khan</w:t>
            </w:r>
          </w:p>
        </w:tc>
      </w:tr>
      <w:tr>
        <w:tc>
          <w:tcPr>
            <w:tcW w:type="dxa" w:w="5112"/>
            <w:vAlign w:val="center"/>
          </w:tcPr>
          <w:p>
            <w:r>
              <w:rPr>
                <w:rFonts w:ascii="Arial" w:hAnsi="Arial"/>
                <w:sz w:val="18"/>
              </w:rPr>
              <w:t>Project Name</w:t>
            </w:r>
          </w:p>
        </w:tc>
        <w:tc>
          <w:tcPr>
            <w:tcW w:type="dxa" w:w="5112"/>
            <w:vAlign w:val="center"/>
          </w:tcPr>
          <w:p>
            <w:r>
              <w:rPr>
                <w:rFonts w:ascii="Arial" w:hAnsi="Arial"/>
                <w:sz w:val="18"/>
              </w:rPr>
              <w:t>Global Fuel Prices and Taxation Trends (2020–2026)</w:t>
            </w:r>
          </w:p>
        </w:tc>
      </w:tr>
      <w:tr>
        <w:tc>
          <w:tcPr>
            <w:tcW w:type="dxa" w:w="5112"/>
            <w:vAlign w:val="center"/>
          </w:tcPr>
          <w:p>
            <w:r>
              <w:rPr>
                <w:rFonts w:ascii="Arial" w:hAnsi="Arial"/>
                <w:sz w:val="18"/>
              </w:rPr>
              <w:t>Project Type</w:t>
            </w:r>
          </w:p>
        </w:tc>
        <w:tc>
          <w:tcPr>
            <w:tcW w:type="dxa" w:w="5112"/>
            <w:vAlign w:val="center"/>
          </w:tcPr>
          <w:p>
            <w:r>
              <w:rPr>
                <w:rFonts w:ascii="Arial" w:hAnsi="Arial"/>
                <w:sz w:val="18"/>
              </w:rPr>
              <w:t>Individual project</w:t>
            </w:r>
          </w:p>
        </w:tc>
      </w:tr>
      <w:tr>
        <w:tc>
          <w:tcPr>
            <w:tcW w:type="dxa" w:w="5112"/>
            <w:vAlign w:val="center"/>
          </w:tcPr>
          <w:p>
            <w:r>
              <w:rPr>
                <w:rFonts w:ascii="Arial" w:hAnsi="Arial"/>
                <w:sz w:val="18"/>
              </w:rPr>
              <w:t>Date</w:t>
            </w:r>
          </w:p>
        </w:tc>
        <w:tc>
          <w:tcPr>
            <w:tcW w:type="dxa" w:w="5112"/>
            <w:vAlign w:val="center"/>
          </w:tcPr>
          <w:p>
            <w:r>
              <w:rPr>
                <w:rFonts w:ascii="Arial" w:hAnsi="Arial"/>
                <w:sz w:val="18"/>
              </w:rPr>
              <w:t>29 October 2026</w:t>
            </w:r>
          </w:p>
        </w:tc>
      </w:tr>
      <w:tr>
        <w:tc>
          <w:tcPr>
            <w:tcW w:type="dxa" w:w="5112"/>
            <w:vAlign w:val="center"/>
          </w:tcPr>
          <w:p>
            <w:r>
              <w:rPr>
                <w:rFonts w:ascii="Arial" w:hAnsi="Arial"/>
                <w:sz w:val="18"/>
              </w:rPr>
              <w:t>Maximum Marks</w:t>
            </w:r>
          </w:p>
        </w:tc>
        <w:tc>
          <w:tcPr>
            <w:tcW w:type="dxa" w:w="5112"/>
            <w:vAlign w:val="center"/>
          </w:tcPr>
          <w:p>
            <w:r>
              <w:rPr>
                <w:rFonts w:ascii="Arial" w:hAnsi="Arial"/>
                <w:sz w:val="18"/>
              </w:rPr>
              <w:t>4 Marks</w:t>
            </w:r>
          </w:p>
        </w:tc>
      </w:tr>
    </w:tbl>
    <w:p/>
    <w:p>
      <w:pPr>
        <w:pStyle w:val="Heading1"/>
      </w:pPr>
      <w:r>
        <w:t>1. Architecture Overview</w:t>
      </w:r>
    </w:p>
    <w:p>
      <w:r>
        <w:t>This is a Tableau-based data analysis and visualization project. The architecture describes the flow from the supplied dataset to the workbook, dashboard/story, and published presentation. It is not a custom web application architecture.</w:t>
      </w:r>
    </w:p>
    <w:p>
      <w:pPr>
        <w:pStyle w:val="Heading1"/>
      </w:pPr>
      <w:r>
        <w:t>2. Logical Data Flow</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rFonts w:ascii="Arial" w:hAnsi="Arial"/>
                <w:b/>
                <w:sz w:val="18"/>
              </w:rPr>
              <w:t>Stage</w:t>
            </w:r>
          </w:p>
        </w:tc>
        <w:tc>
          <w:tcPr>
            <w:tcW w:type="dxa" w:w="3408"/>
            <w:vAlign w:val="center"/>
          </w:tcPr>
          <w:p>
            <w:r>
              <w:rPr>
                <w:rFonts w:ascii="Arial" w:hAnsi="Arial"/>
                <w:b/>
                <w:sz w:val="18"/>
              </w:rPr>
              <w:t>Role</w:t>
            </w:r>
          </w:p>
        </w:tc>
        <w:tc>
          <w:tcPr>
            <w:tcW w:type="dxa" w:w="3408"/>
            <w:vAlign w:val="center"/>
          </w:tcPr>
          <w:p>
            <w:r>
              <w:rPr>
                <w:rFonts w:ascii="Arial" w:hAnsi="Arial"/>
                <w:b/>
                <w:sz w:val="18"/>
              </w:rPr>
              <w:t>Current status</w:t>
            </w:r>
          </w:p>
        </w:tc>
      </w:tr>
      <w:tr>
        <w:tc>
          <w:tcPr>
            <w:tcW w:type="dxa" w:w="3408"/>
            <w:vAlign w:val="center"/>
          </w:tcPr>
          <w:p>
            <w:r>
              <w:rPr>
                <w:rFonts w:ascii="Arial" w:hAnsi="Arial"/>
                <w:sz w:val="18"/>
              </w:rPr>
              <w:t>Source dataset</w:t>
            </w:r>
          </w:p>
        </w:tc>
        <w:tc>
          <w:tcPr>
            <w:tcW w:type="dxa" w:w="3408"/>
            <w:vAlign w:val="center"/>
          </w:tcPr>
          <w:p>
            <w:r>
              <w:rPr>
                <w:rFonts w:ascii="Arial" w:hAnsi="Arial"/>
                <w:sz w:val="18"/>
              </w:rPr>
              <w:t>Provides historical country/region fuel-price, tax, crude-oil and income-level data.</w:t>
            </w:r>
          </w:p>
        </w:tc>
        <w:tc>
          <w:tcPr>
            <w:tcW w:type="dxa" w:w="3408"/>
            <w:vAlign w:val="center"/>
          </w:tcPr>
          <w:p>
            <w:r>
              <w:rPr>
                <w:rFonts w:ascii="Arial" w:hAnsi="Arial"/>
                <w:sz w:val="18"/>
              </w:rPr>
              <w:t>Loaded into Tableau; dataset details are reported in the project handover.</w:t>
            </w:r>
          </w:p>
        </w:tc>
      </w:tr>
      <w:tr>
        <w:tc>
          <w:tcPr>
            <w:tcW w:type="dxa" w:w="3408"/>
            <w:vAlign w:val="center"/>
          </w:tcPr>
          <w:p>
            <w:r>
              <w:rPr>
                <w:rFonts w:ascii="Arial" w:hAnsi="Arial"/>
                <w:sz w:val="18"/>
              </w:rPr>
              <w:t>Data review / preparation</w:t>
            </w:r>
          </w:p>
        </w:tc>
        <w:tc>
          <w:tcPr>
            <w:tcW w:type="dxa" w:w="3408"/>
            <w:vAlign w:val="center"/>
          </w:tcPr>
          <w:p>
            <w:r>
              <w:rPr>
                <w:rFonts w:ascii="Arial" w:hAnsi="Arial"/>
                <w:sz w:val="18"/>
              </w:rPr>
              <w:t>Check field names, data types, missing values, dates, and aggregation before interpreting charts.</w:t>
            </w:r>
          </w:p>
        </w:tc>
        <w:tc>
          <w:tcPr>
            <w:tcW w:type="dxa" w:w="3408"/>
            <w:vAlign w:val="center"/>
          </w:tcPr>
          <w:p>
            <w:r>
              <w:rPr>
                <w:rFonts w:ascii="Arial" w:hAnsi="Arial"/>
                <w:sz w:val="18"/>
              </w:rPr>
              <w:t>Needs final verification; no unconfirmed preprocessing steps are claimed.</w:t>
            </w:r>
          </w:p>
        </w:tc>
      </w:tr>
      <w:tr>
        <w:tc>
          <w:tcPr>
            <w:tcW w:type="dxa" w:w="3408"/>
            <w:vAlign w:val="center"/>
          </w:tcPr>
          <w:p>
            <w:r>
              <w:rPr>
                <w:rFonts w:ascii="Arial" w:hAnsi="Arial"/>
                <w:sz w:val="18"/>
              </w:rPr>
              <w:t>Tableau worksheets</w:t>
            </w:r>
          </w:p>
        </w:tc>
        <w:tc>
          <w:tcPr>
            <w:tcW w:type="dxa" w:w="3408"/>
            <w:vAlign w:val="center"/>
          </w:tcPr>
          <w:p>
            <w:r>
              <w:rPr>
                <w:rFonts w:ascii="Arial" w:hAnsi="Arial"/>
                <w:sz w:val="18"/>
              </w:rPr>
              <w:t>Create individual views for trends, comparisons, regional variation, income level, and tax-price association.</w:t>
            </w:r>
          </w:p>
        </w:tc>
        <w:tc>
          <w:tcPr>
            <w:tcW w:type="dxa" w:w="3408"/>
            <w:vAlign w:val="center"/>
          </w:tcPr>
          <w:p>
            <w:r>
              <w:rPr>
                <w:rFonts w:ascii="Arial" w:hAnsi="Arial"/>
                <w:sz w:val="18"/>
              </w:rPr>
              <w:t>Ten worksheets created.</w:t>
            </w:r>
          </w:p>
        </w:tc>
      </w:tr>
      <w:tr>
        <w:tc>
          <w:tcPr>
            <w:tcW w:type="dxa" w:w="3408"/>
            <w:vAlign w:val="center"/>
          </w:tcPr>
          <w:p>
            <w:r>
              <w:rPr>
                <w:rFonts w:ascii="Arial" w:hAnsi="Arial"/>
                <w:sz w:val="18"/>
              </w:rPr>
              <w:t>Dashboard</w:t>
            </w:r>
          </w:p>
        </w:tc>
        <w:tc>
          <w:tcPr>
            <w:tcW w:type="dxa" w:w="3408"/>
            <w:vAlign w:val="center"/>
          </w:tcPr>
          <w:p>
            <w:r>
              <w:rPr>
                <w:rFonts w:ascii="Arial" w:hAnsi="Arial"/>
                <w:sz w:val="18"/>
              </w:rPr>
              <w:t>Combines selected views and interactive country/region filters.</w:t>
            </w:r>
          </w:p>
        </w:tc>
        <w:tc>
          <w:tcPr>
            <w:tcW w:type="dxa" w:w="3408"/>
            <w:vAlign w:val="center"/>
          </w:tcPr>
          <w:p>
            <w:r>
              <w:rPr>
                <w:rFonts w:ascii="Arial" w:hAnsi="Arial"/>
                <w:sz w:val="18"/>
              </w:rPr>
              <w:t>Created as “Global Fuel Prices Dashboard”; filters should be tested.</w:t>
            </w:r>
          </w:p>
        </w:tc>
      </w:tr>
      <w:tr>
        <w:tc>
          <w:tcPr>
            <w:tcW w:type="dxa" w:w="3408"/>
            <w:vAlign w:val="center"/>
          </w:tcPr>
          <w:p>
            <w:r>
              <w:rPr>
                <w:rFonts w:ascii="Arial" w:hAnsi="Arial"/>
                <w:sz w:val="18"/>
              </w:rPr>
              <w:t>Story</w:t>
            </w:r>
          </w:p>
        </w:tc>
        <w:tc>
          <w:tcPr>
            <w:tcW w:type="dxa" w:w="3408"/>
            <w:vAlign w:val="center"/>
          </w:tcPr>
          <w:p>
            <w:r>
              <w:rPr>
                <w:rFonts w:ascii="Arial" w:hAnsi="Arial"/>
                <w:sz w:val="18"/>
              </w:rPr>
              <w:t>Arranges dashboard and charts into a narrative.</w:t>
            </w:r>
          </w:p>
        </w:tc>
        <w:tc>
          <w:tcPr>
            <w:tcW w:type="dxa" w:w="3408"/>
            <w:vAlign w:val="center"/>
          </w:tcPr>
          <w:p>
            <w:r>
              <w:rPr>
                <w:rFonts w:ascii="Arial" w:hAnsi="Arial"/>
                <w:sz w:val="18"/>
              </w:rPr>
              <w:t>Created as “Global Fuel Prices – Story”; check sequence and captions.</w:t>
            </w:r>
          </w:p>
        </w:tc>
      </w:tr>
      <w:tr>
        <w:tc>
          <w:tcPr>
            <w:tcW w:type="dxa" w:w="3408"/>
            <w:vAlign w:val="center"/>
          </w:tcPr>
          <w:p>
            <w:r>
              <w:rPr>
                <w:rFonts w:ascii="Arial" w:hAnsi="Arial"/>
                <w:sz w:val="18"/>
              </w:rPr>
              <w:t>Publishing</w:t>
            </w:r>
          </w:p>
        </w:tc>
        <w:tc>
          <w:tcPr>
            <w:tcW w:type="dxa" w:w="3408"/>
            <w:vAlign w:val="center"/>
          </w:tcPr>
          <w:p>
            <w:r>
              <w:rPr>
                <w:rFonts w:ascii="Arial" w:hAnsi="Arial"/>
                <w:sz w:val="18"/>
              </w:rPr>
              <w:t>Makes the dashboard available through Tableau Public.</w:t>
            </w:r>
          </w:p>
        </w:tc>
        <w:tc>
          <w:tcPr>
            <w:tcW w:type="dxa" w:w="3408"/>
            <w:vAlign w:val="center"/>
          </w:tcPr>
          <w:p>
            <w:r>
              <w:rPr>
                <w:rFonts w:ascii="Arial" w:hAnsi="Arial"/>
                <w:sz w:val="18"/>
              </w:rPr>
              <w:t>User reported publishing complete; public URL needs confirmation.</w:t>
            </w:r>
          </w:p>
        </w:tc>
      </w:tr>
      <w:tr>
        <w:tc>
          <w:tcPr>
            <w:tcW w:type="dxa" w:w="3408"/>
            <w:vAlign w:val="center"/>
          </w:tcPr>
          <w:p>
            <w:r>
              <w:rPr>
                <w:rFonts w:ascii="Arial" w:hAnsi="Arial"/>
                <w:sz w:val="18"/>
              </w:rPr>
              <w:t>Versioning / submission</w:t>
            </w:r>
          </w:p>
        </w:tc>
        <w:tc>
          <w:tcPr>
            <w:tcW w:type="dxa" w:w="3408"/>
            <w:vAlign w:val="center"/>
          </w:tcPr>
          <w:p>
            <w:r>
              <w:rPr>
                <w:rFonts w:ascii="Arial" w:hAnsi="Arial"/>
                <w:sz w:val="18"/>
              </w:rPr>
              <w:t>Stores the workbook and supporting documentation.</w:t>
            </w:r>
          </w:p>
        </w:tc>
        <w:tc>
          <w:tcPr>
            <w:tcW w:type="dxa" w:w="3408"/>
            <w:vAlign w:val="center"/>
          </w:tcPr>
          <w:p>
            <w:r>
              <w:rPr>
                <w:rFonts w:ascii="Arial" w:hAnsi="Arial"/>
                <w:sz w:val="18"/>
              </w:rPr>
              <w:t>GitHub repository created and .twbx uploaded; repository contents need review.</w:t>
            </w:r>
          </w:p>
        </w:tc>
      </w:tr>
    </w:tbl>
    <w:p/>
    <w:p>
      <w:pPr>
        <w:pStyle w:val="Heading1"/>
      </w:pPr>
      <w:r>
        <w:t>3. Component Description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rFonts w:ascii="Arial" w:hAnsi="Arial"/>
                <w:b/>
                <w:sz w:val="18"/>
              </w:rPr>
              <w:t>Component</w:t>
            </w:r>
          </w:p>
        </w:tc>
        <w:tc>
          <w:tcPr>
            <w:tcW w:type="dxa" w:w="3408"/>
            <w:vAlign w:val="center"/>
          </w:tcPr>
          <w:p>
            <w:r>
              <w:rPr>
                <w:rFonts w:ascii="Arial" w:hAnsi="Arial"/>
                <w:b/>
                <w:sz w:val="18"/>
              </w:rPr>
              <w:t>Description / role</w:t>
            </w:r>
          </w:p>
        </w:tc>
        <w:tc>
          <w:tcPr>
            <w:tcW w:type="dxa" w:w="3408"/>
            <w:vAlign w:val="center"/>
          </w:tcPr>
          <w:p>
            <w:r>
              <w:rPr>
                <w:rFonts w:ascii="Arial" w:hAnsi="Arial"/>
                <w:b/>
                <w:sz w:val="18"/>
              </w:rPr>
              <w:t>Technology used</w:t>
            </w:r>
          </w:p>
        </w:tc>
      </w:tr>
      <w:tr>
        <w:tc>
          <w:tcPr>
            <w:tcW w:type="dxa" w:w="3408"/>
            <w:vAlign w:val="center"/>
          </w:tcPr>
          <w:p>
            <w:r>
              <w:rPr>
                <w:rFonts w:ascii="Arial" w:hAnsi="Arial"/>
                <w:sz w:val="18"/>
              </w:rPr>
              <w:t>Dataset</w:t>
            </w:r>
          </w:p>
        </w:tc>
        <w:tc>
          <w:tcPr>
            <w:tcW w:type="dxa" w:w="3408"/>
            <w:vAlign w:val="center"/>
          </w:tcPr>
          <w:p>
            <w:r>
              <w:rPr>
                <w:rFonts w:ascii="Arial" w:hAnsi="Arial"/>
                <w:sz w:val="18"/>
              </w:rPr>
              <w:t>Historical fuel and related indicators.</w:t>
            </w:r>
          </w:p>
        </w:tc>
        <w:tc>
          <w:tcPr>
            <w:tcW w:type="dxa" w:w="3408"/>
            <w:vAlign w:val="center"/>
          </w:tcPr>
          <w:p>
            <w:r>
              <w:rPr>
                <w:rFonts w:ascii="Arial" w:hAnsi="Arial"/>
                <w:sz w:val="18"/>
              </w:rPr>
              <w:t>Provided dataset; exact source URL not yet supplied.</w:t>
            </w:r>
          </w:p>
        </w:tc>
      </w:tr>
      <w:tr>
        <w:tc>
          <w:tcPr>
            <w:tcW w:type="dxa" w:w="3408"/>
            <w:vAlign w:val="center"/>
          </w:tcPr>
          <w:p>
            <w:r>
              <w:rPr>
                <w:rFonts w:ascii="Arial" w:hAnsi="Arial"/>
                <w:sz w:val="18"/>
              </w:rPr>
              <w:t>Data visualization</w:t>
            </w:r>
          </w:p>
        </w:tc>
        <w:tc>
          <w:tcPr>
            <w:tcW w:type="dxa" w:w="3408"/>
            <w:vAlign w:val="center"/>
          </w:tcPr>
          <w:p>
            <w:r>
              <w:rPr>
                <w:rFonts w:ascii="Arial" w:hAnsi="Arial"/>
                <w:sz w:val="18"/>
              </w:rPr>
              <w:t>Builds charts and comparisons.</w:t>
            </w:r>
          </w:p>
        </w:tc>
        <w:tc>
          <w:tcPr>
            <w:tcW w:type="dxa" w:w="3408"/>
            <w:vAlign w:val="center"/>
          </w:tcPr>
          <w:p>
            <w:r>
              <w:rPr>
                <w:rFonts w:ascii="Arial" w:hAnsi="Arial"/>
                <w:sz w:val="18"/>
              </w:rPr>
              <w:t>Tableau Desktop 2026.3.0</w:t>
            </w:r>
          </w:p>
        </w:tc>
      </w:tr>
      <w:tr>
        <w:tc>
          <w:tcPr>
            <w:tcW w:type="dxa" w:w="3408"/>
            <w:vAlign w:val="center"/>
          </w:tcPr>
          <w:p>
            <w:r>
              <w:rPr>
                <w:rFonts w:ascii="Arial" w:hAnsi="Arial"/>
                <w:sz w:val="18"/>
              </w:rPr>
              <w:t>Dashboard</w:t>
            </w:r>
          </w:p>
        </w:tc>
        <w:tc>
          <w:tcPr>
            <w:tcW w:type="dxa" w:w="3408"/>
            <w:vAlign w:val="center"/>
          </w:tcPr>
          <w:p>
            <w:r>
              <w:rPr>
                <w:rFonts w:ascii="Arial" w:hAnsi="Arial"/>
                <w:sz w:val="18"/>
              </w:rPr>
              <w:t>Combines views and filters.</w:t>
            </w:r>
          </w:p>
        </w:tc>
        <w:tc>
          <w:tcPr>
            <w:tcW w:type="dxa" w:w="3408"/>
            <w:vAlign w:val="center"/>
          </w:tcPr>
          <w:p>
            <w:r>
              <w:rPr>
                <w:rFonts w:ascii="Arial" w:hAnsi="Arial"/>
                <w:sz w:val="18"/>
              </w:rPr>
              <w:t>Tableau</w:t>
            </w:r>
          </w:p>
        </w:tc>
      </w:tr>
      <w:tr>
        <w:tc>
          <w:tcPr>
            <w:tcW w:type="dxa" w:w="3408"/>
            <w:vAlign w:val="center"/>
          </w:tcPr>
          <w:p>
            <w:r>
              <w:rPr>
                <w:rFonts w:ascii="Arial" w:hAnsi="Arial"/>
                <w:sz w:val="18"/>
              </w:rPr>
              <w:t>Data story</w:t>
            </w:r>
          </w:p>
        </w:tc>
        <w:tc>
          <w:tcPr>
            <w:tcW w:type="dxa" w:w="3408"/>
            <w:vAlign w:val="center"/>
          </w:tcPr>
          <w:p>
            <w:r>
              <w:rPr>
                <w:rFonts w:ascii="Arial" w:hAnsi="Arial"/>
                <w:sz w:val="18"/>
              </w:rPr>
              <w:t>Presents views in sequence.</w:t>
            </w:r>
          </w:p>
        </w:tc>
        <w:tc>
          <w:tcPr>
            <w:tcW w:type="dxa" w:w="3408"/>
            <w:vAlign w:val="center"/>
          </w:tcPr>
          <w:p>
            <w:r>
              <w:rPr>
                <w:rFonts w:ascii="Arial" w:hAnsi="Arial"/>
                <w:sz w:val="18"/>
              </w:rPr>
              <w:t>Tableau Story</w:t>
            </w:r>
          </w:p>
        </w:tc>
      </w:tr>
      <w:tr>
        <w:tc>
          <w:tcPr>
            <w:tcW w:type="dxa" w:w="3408"/>
            <w:vAlign w:val="center"/>
          </w:tcPr>
          <w:p>
            <w:r>
              <w:rPr>
                <w:rFonts w:ascii="Arial" w:hAnsi="Arial"/>
                <w:sz w:val="18"/>
              </w:rPr>
              <w:t>Public access</w:t>
            </w:r>
          </w:p>
        </w:tc>
        <w:tc>
          <w:tcPr>
            <w:tcW w:type="dxa" w:w="3408"/>
            <w:vAlign w:val="center"/>
          </w:tcPr>
          <w:p>
            <w:r>
              <w:rPr>
                <w:rFonts w:ascii="Arial" w:hAnsi="Arial"/>
                <w:sz w:val="18"/>
              </w:rPr>
              <w:t>Hosts published dashboard.</w:t>
            </w:r>
          </w:p>
        </w:tc>
        <w:tc>
          <w:tcPr>
            <w:tcW w:type="dxa" w:w="3408"/>
            <w:vAlign w:val="center"/>
          </w:tcPr>
          <w:p>
            <w:r>
              <w:rPr>
                <w:rFonts w:ascii="Arial" w:hAnsi="Arial"/>
                <w:sz w:val="18"/>
              </w:rPr>
              <w:t>Tableau Public (reported published; link to verify)</w:t>
            </w:r>
          </w:p>
        </w:tc>
      </w:tr>
      <w:tr>
        <w:tc>
          <w:tcPr>
            <w:tcW w:type="dxa" w:w="3408"/>
            <w:vAlign w:val="center"/>
          </w:tcPr>
          <w:p>
            <w:r>
              <w:rPr>
                <w:rFonts w:ascii="Arial" w:hAnsi="Arial"/>
                <w:sz w:val="18"/>
              </w:rPr>
              <w:t>Version control / file sharing</w:t>
            </w:r>
          </w:p>
        </w:tc>
        <w:tc>
          <w:tcPr>
            <w:tcW w:type="dxa" w:w="3408"/>
            <w:vAlign w:val="center"/>
          </w:tcPr>
          <w:p>
            <w:r>
              <w:rPr>
                <w:rFonts w:ascii="Arial" w:hAnsi="Arial"/>
                <w:sz w:val="18"/>
              </w:rPr>
              <w:t>Stores the packaged workbook and project files.</w:t>
            </w:r>
          </w:p>
        </w:tc>
        <w:tc>
          <w:tcPr>
            <w:tcW w:type="dxa" w:w="3408"/>
            <w:vAlign w:val="center"/>
          </w:tcPr>
          <w:p>
            <w:r>
              <w:rPr>
                <w:rFonts w:ascii="Arial" w:hAnsi="Arial"/>
                <w:sz w:val="18"/>
              </w:rPr>
              <w:t>GitHub</w:t>
            </w:r>
          </w:p>
        </w:tc>
      </w:tr>
      <w:tr>
        <w:tc>
          <w:tcPr>
            <w:tcW w:type="dxa" w:w="3408"/>
            <w:vAlign w:val="center"/>
          </w:tcPr>
          <w:p>
            <w:r>
              <w:rPr>
                <w:rFonts w:ascii="Arial" w:hAnsi="Arial"/>
                <w:sz w:val="18"/>
              </w:rPr>
              <w:t>Documentation</w:t>
            </w:r>
          </w:p>
        </w:tc>
        <w:tc>
          <w:tcPr>
            <w:tcW w:type="dxa" w:w="3408"/>
            <w:vAlign w:val="center"/>
          </w:tcPr>
          <w:p>
            <w:r>
              <w:rPr>
                <w:rFonts w:ascii="Arial" w:hAnsi="Arial"/>
                <w:sz w:val="18"/>
              </w:rPr>
              <w:t>Project proposal, architecture, planning and report files.</w:t>
            </w:r>
          </w:p>
        </w:tc>
        <w:tc>
          <w:tcPr>
            <w:tcW w:type="dxa" w:w="3408"/>
            <w:vAlign w:val="center"/>
          </w:tcPr>
          <w:p>
            <w:r>
              <w:rPr>
                <w:rFonts w:ascii="Arial" w:hAnsi="Arial"/>
                <w:sz w:val="18"/>
              </w:rPr>
              <w:t>Word-compatible DOCX and PDF</w:t>
            </w:r>
          </w:p>
        </w:tc>
      </w:tr>
    </w:tbl>
    <w:p/>
    <w:p>
      <w:pPr>
        <w:pStyle w:val="Heading1"/>
      </w:pPr>
      <w:r>
        <w:t>4. Architecture Diagram (Text Representation)</w:t>
      </w:r>
    </w:p>
    <w:p>
      <w:r>
        <w:t>Dataset → Tableau data connection and field review → 10 worksheets → Global Fuel Prices Dashboard + Global Fuel Prices – Story → Tableau Public → GitHub / final submission documentation</w:t>
      </w:r>
    </w:p>
    <w:p>
      <w:pPr>
        <w:pStyle w:val="Heading1"/>
      </w:pPr>
      <w:r>
        <w:t>5. Design Considerations and Limitations</w:t>
      </w:r>
    </w:p>
    <w:p>
      <w:pPr>
        <w:pStyle w:val="ListBullet"/>
      </w:pPr>
      <w:r>
        <w:t>Check data types, date coverage, aggregation, missing values, and the exact petrol-field spelling before interpreting results.</w:t>
      </w:r>
    </w:p>
    <w:p>
      <w:pPr>
        <w:pStyle w:val="ListBullet"/>
      </w:pPr>
      <w:r>
        <w:t>A tax-versus-price scatter plot shows association, not causation.</w:t>
      </w:r>
    </w:p>
    <w:p>
      <w:pPr>
        <w:pStyle w:val="ListBullet"/>
      </w:pPr>
      <w:r>
        <w:t>Subsidy effects should only be discussed if a subsidy field or separate evidence is available.</w:t>
      </w:r>
    </w:p>
    <w:p>
      <w:pPr>
        <w:pStyle w:val="ListBullet"/>
      </w:pPr>
      <w:r>
        <w:t>No forecasting model, web integration, or custom source code is claimed as completed unless separately verified.</w:t>
      </w:r>
    </w:p>
    <w:p>
      <w:pPr>
        <w:pStyle w:val="Heading1"/>
      </w:pPr>
      <w:r>
        <w:t>6. Stakeholder Scenarios</w:t>
      </w:r>
    </w:p>
    <w:p>
      <w:pPr>
        <w:pStyle w:val="Heading2"/>
      </w:pPr>
      <w:r>
        <w:t>Scenario 1 — Dr. Sarah Mitchell, Energy Policy Consultant</w:t>
      </w:r>
    </w:p>
    <w:p>
      <w:r>
        <w:t>Compare regional fuel-price trends and tax-policy differences, and explore how subsidies may relate to fuel prices. The analysis can inform discussion of equitable and sustainable policy, but the dataset and charts alone do not prove that taxes or subsidies cause a price change.</w:t>
      </w:r>
    </w:p>
    <w:p>
      <w:pPr>
        <w:pStyle w:val="Heading2"/>
      </w:pPr>
      <w:r>
        <w:t>Scenario 2 — Marcus Thompson, Global Supply Chain Manager</w:t>
      </w:r>
    </w:p>
    <w:p>
      <w:r>
        <w:t>Compare fuel prices across countries and regions, examine historical trends and visible volatility, and consider implications for transport costs and procurement. Forecasting is not claimed as completed because no validated forecasting model has been confirmed.</w:t>
      </w:r>
    </w:p>
    <w:p>
      <w:pPr>
        <w:pStyle w:val="Heading2"/>
      </w:pPr>
      <w:r>
        <w:t>Scenario 3 — Professor Elena Rodriguez, Energy Economics Researcher</w:t>
      </w:r>
    </w:p>
    <w:p>
      <w:r>
        <w:t>Explore associations between fuel prices, taxation, income levels, and affordability. Interpret scatter plots and comparisons as associations, not proof of causation; subsidy-specific conclusions require a confirmed subsidy field or other supporting evidence.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