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Empathy Map Canvas</w:t>
      </w:r>
    </w:p>
    <w:p>
      <w:pPr>
        <w:jc w:val="center"/>
      </w:pPr>
      <w:r>
        <w:rPr>
          <w:i/>
          <w:sz w:val="20"/>
        </w:rPr>
        <w:t>Global Fuel Prices and Taxation Trends (2020–2026)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Student</w:t>
            </w:r>
          </w:p>
        </w:tc>
        <w:tc>
          <w:tcPr>
            <w:tcW w:type="dxa" w:w="5112"/>
            <w:vAlign w:val="center"/>
          </w:tcPr>
          <w:p>
            <w:r>
              <w:rPr>
                <w:rFonts w:ascii="Arial" w:hAnsi="Arial"/>
                <w:sz w:val="18"/>
              </w:rPr>
              <w:t>Nazia Khan</w:t>
            </w:r>
          </w:p>
        </w:tc>
      </w:tr>
      <w:tr>
        <w:tc>
          <w:tcPr>
            <w:tcW w:type="dxa" w:w="5112"/>
            <w:vAlign w:val="center"/>
          </w:tcPr>
          <w:p>
            <w:r>
              <w:rPr>
                <w:rFonts w:ascii="Arial" w:hAnsi="Arial"/>
                <w:sz w:val="18"/>
              </w:rPr>
              <w:t>Project Name</w:t>
            </w:r>
          </w:p>
        </w:tc>
        <w:tc>
          <w:tcPr>
            <w:tcW w:type="dxa" w:w="5112"/>
            <w:vAlign w:val="center"/>
          </w:tcPr>
          <w:p>
            <w:r>
              <w:rPr>
                <w:rFonts w:ascii="Arial" w:hAnsi="Arial"/>
                <w:sz w:val="18"/>
              </w:rPr>
              <w:t>Global Fuel Prices and Taxation Trends (2020–2026)</w:t>
            </w:r>
          </w:p>
        </w:tc>
      </w:tr>
      <w:tr>
        <w:tc>
          <w:tcPr>
            <w:tcW w:type="dxa" w:w="5112"/>
            <w:vAlign w:val="center"/>
          </w:tcPr>
          <w:p>
            <w:r>
              <w:rPr>
                <w:rFonts w:ascii="Arial" w:hAnsi="Arial"/>
                <w:sz w:val="18"/>
              </w:rPr>
              <w:t>Project Type</w:t>
            </w:r>
          </w:p>
        </w:tc>
        <w:tc>
          <w:tcPr>
            <w:tcW w:type="dxa" w:w="5112"/>
            <w:vAlign w:val="center"/>
          </w:tcPr>
          <w:p>
            <w:r>
              <w:rPr>
                <w:rFonts w:ascii="Arial" w:hAnsi="Arial"/>
                <w:sz w:val="18"/>
              </w:rPr>
              <w:t>Individual project</w:t>
            </w:r>
          </w:p>
        </w:tc>
      </w:tr>
      <w:tr>
        <w:tc>
          <w:tcPr>
            <w:tcW w:type="dxa" w:w="5112"/>
            <w:vAlign w:val="center"/>
          </w:tcPr>
          <w:p>
            <w:r>
              <w:rPr>
                <w:rFonts w:ascii="Arial" w:hAnsi="Arial"/>
                <w:sz w:val="18"/>
              </w:rPr>
              <w:t>Date</w:t>
            </w:r>
          </w:p>
        </w:tc>
        <w:tc>
          <w:tcPr>
            <w:tcW w:type="dxa" w:w="5112"/>
            <w:vAlign w:val="center"/>
          </w:tcPr>
          <w:p>
            <w:r>
              <w:rPr>
                <w:rFonts w:ascii="Arial" w:hAnsi="Arial"/>
                <w:sz w:val="18"/>
              </w:rPr>
              <w:t>29 October 2026</w:t>
            </w:r>
          </w:p>
        </w:tc>
      </w:tr>
      <w:tr>
        <w:tc>
          <w:tcPr>
            <w:tcW w:type="dxa" w:w="5112"/>
            <w:vAlign w:val="center"/>
          </w:tcPr>
          <w:p>
            <w:r>
              <w:rPr>
                <w:rFonts w:ascii="Arial" w:hAnsi="Arial"/>
                <w:sz w:val="18"/>
              </w:rPr>
              <w:t>Maximum Marks</w:t>
            </w:r>
          </w:p>
        </w:tc>
        <w:tc>
          <w:tcPr>
            <w:tcW w:type="dxa" w:w="5112"/>
            <w:vAlign w:val="center"/>
          </w:tcPr>
          <w:p>
            <w:r>
              <w:rPr>
                <w:rFonts w:ascii="Arial" w:hAnsi="Arial"/>
                <w:sz w:val="18"/>
              </w:rPr>
              <w:t>4 Marks</w:t>
            </w:r>
          </w:p>
        </w:tc>
      </w:tr>
    </w:tbl>
    <w:p/>
    <w:p>
      <w:r>
        <w:t>Primary users represented: the three assigned stakeholder scenarios. This is a project-planning empathy map based on the supplied scenario descriptions, not a record of interviews.</w:t>
      </w:r>
    </w:p>
    <w:p>
      <w:pPr>
        <w:pStyle w:val="Heading1"/>
      </w:pPr>
      <w:r>
        <w:t>Scenario 1 — Dr. Sarah Mitchell, Energy Policy Consultant</w:t>
      </w:r>
    </w:p>
    <w:p>
      <w:r>
        <w:t>Compare regional fuel-price trends and tax-policy differences, and explore how subsidies may relate to fuel prices. The analysis can inform discussion of equitable and sustainable policy, but the dataset and charts alone do not prove that taxes or subsidies cause a price change.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18"/>
              </w:rPr>
              <w:t>Empathy area</w:t>
            </w:r>
          </w:p>
        </w:tc>
        <w:tc>
          <w:tcPr>
            <w:tcW w:type="dxa" w:w="5112"/>
            <w:vAlign w:val="center"/>
          </w:tcPr>
          <w:p>
            <w:r>
              <w:rPr>
                <w:rFonts w:ascii="Arial" w:hAnsi="Arial"/>
                <w:b/>
                <w:sz w:val="18"/>
              </w:rPr>
              <w:t>Scenario-based summary</w:t>
            </w:r>
          </w:p>
        </w:tc>
      </w:tr>
      <w:tr>
        <w:tc>
          <w:tcPr>
            <w:tcW w:type="dxa" w:w="5112"/>
            <w:vAlign w:val="center"/>
          </w:tcPr>
          <w:p>
            <w:r>
              <w:rPr>
                <w:rFonts w:ascii="Arial" w:hAnsi="Arial"/>
                <w:sz w:val="18"/>
              </w:rPr>
              <w:t>Says</w:t>
            </w:r>
          </w:p>
        </w:tc>
        <w:tc>
          <w:tcPr>
            <w:tcW w:type="dxa" w:w="5112"/>
            <w:vAlign w:val="center"/>
          </w:tcPr>
          <w:p>
            <w:r>
              <w:rPr>
                <w:rFonts w:ascii="Arial" w:hAnsi="Arial"/>
                <w:sz w:val="18"/>
              </w:rPr>
              <w:t>Needs clear, comparable evidence about fuel prices, taxation, regions, and/or income groups.</w:t>
            </w:r>
          </w:p>
        </w:tc>
      </w:tr>
      <w:tr>
        <w:tc>
          <w:tcPr>
            <w:tcW w:type="dxa" w:w="5112"/>
            <w:vAlign w:val="center"/>
          </w:tcPr>
          <w:p>
            <w:r>
              <w:rPr>
                <w:rFonts w:ascii="Arial" w:hAnsi="Arial"/>
                <w:sz w:val="18"/>
              </w:rPr>
              <w:t>Thinks</w:t>
            </w:r>
          </w:p>
        </w:tc>
        <w:tc>
          <w:tcPr>
            <w:tcW w:type="dxa" w:w="5112"/>
            <w:vAlign w:val="center"/>
          </w:tcPr>
          <w:p>
            <w:r>
              <w:rPr>
                <w:rFonts w:ascii="Arial" w:hAnsi="Arial"/>
                <w:sz w:val="18"/>
              </w:rPr>
              <w:t>Wants to understand what the data shows and how confidently it can support a decision.</w:t>
            </w:r>
          </w:p>
        </w:tc>
      </w:tr>
      <w:tr>
        <w:tc>
          <w:tcPr>
            <w:tcW w:type="dxa" w:w="5112"/>
            <w:vAlign w:val="center"/>
          </w:tcPr>
          <w:p>
            <w:r>
              <w:rPr>
                <w:rFonts w:ascii="Arial" w:hAnsi="Arial"/>
                <w:sz w:val="18"/>
              </w:rPr>
              <w:t>Does</w:t>
            </w:r>
          </w:p>
        </w:tc>
        <w:tc>
          <w:tcPr>
            <w:tcW w:type="dxa" w:w="5112"/>
            <w:vAlign w:val="center"/>
          </w:tcPr>
          <w:p>
            <w:r>
              <w:rPr>
                <w:rFonts w:ascii="Arial" w:hAnsi="Arial"/>
                <w:sz w:val="18"/>
              </w:rPr>
              <w:t>Compares charts, countries, time periods, regions, or income-level groups.</w:t>
            </w:r>
          </w:p>
        </w:tc>
      </w:tr>
      <w:tr>
        <w:tc>
          <w:tcPr>
            <w:tcW w:type="dxa" w:w="5112"/>
            <w:vAlign w:val="center"/>
          </w:tcPr>
          <w:p>
            <w:r>
              <w:rPr>
                <w:rFonts w:ascii="Arial" w:hAnsi="Arial"/>
                <w:sz w:val="18"/>
              </w:rPr>
              <w:t>Feels / needs</w:t>
            </w:r>
          </w:p>
        </w:tc>
        <w:tc>
          <w:tcPr>
            <w:tcW w:type="dxa" w:w="5112"/>
            <w:vAlign w:val="center"/>
          </w:tcPr>
          <w:p>
            <w:r>
              <w:rPr>
                <w:rFonts w:ascii="Arial" w:hAnsi="Arial"/>
                <w:sz w:val="18"/>
              </w:rPr>
              <w:t>Needs reliable labels, transparent limitations, and a simple way to explore patterns.</w:t>
            </w:r>
          </w:p>
        </w:tc>
      </w:tr>
      <w:tr>
        <w:tc>
          <w:tcPr>
            <w:tcW w:type="dxa" w:w="5112"/>
            <w:vAlign w:val="center"/>
          </w:tcPr>
          <w:p>
            <w:r>
              <w:rPr>
                <w:rFonts w:ascii="Arial" w:hAnsi="Arial"/>
                <w:sz w:val="18"/>
              </w:rPr>
              <w:t>Pain points</w:t>
            </w:r>
          </w:p>
        </w:tc>
        <w:tc>
          <w:tcPr>
            <w:tcW w:type="dxa" w:w="5112"/>
            <w:vAlign w:val="center"/>
          </w:tcPr>
          <w:p>
            <w:r>
              <w:rPr>
                <w:rFonts w:ascii="Arial" w:hAnsi="Arial"/>
                <w:sz w:val="18"/>
              </w:rPr>
              <w:t>Different price levels, changing trends, incomplete context, and the risk of confusing association with causation.</w:t>
            </w:r>
          </w:p>
        </w:tc>
      </w:tr>
      <w:tr>
        <w:tc>
          <w:tcPr>
            <w:tcW w:type="dxa" w:w="5112"/>
            <w:vAlign w:val="center"/>
          </w:tcPr>
          <w:p>
            <w:r>
              <w:rPr>
                <w:rFonts w:ascii="Arial" w:hAnsi="Arial"/>
                <w:sz w:val="18"/>
              </w:rPr>
              <w:t>Desired gain</w:t>
            </w:r>
          </w:p>
        </w:tc>
        <w:tc>
          <w:tcPr>
            <w:tcW w:type="dxa" w:w="5112"/>
            <w:vAlign w:val="center"/>
          </w:tcPr>
          <w:p>
            <w:r>
              <w:rPr>
                <w:rFonts w:ascii="Arial" w:hAnsi="Arial"/>
                <w:sz w:val="18"/>
              </w:rPr>
              <w:t>A clear, interactive overview that supports further policy, logistics, or research analysis.</w:t>
            </w:r>
          </w:p>
        </w:tc>
      </w:tr>
    </w:tbl>
    <w:p/>
    <w:p>
      <w:pPr>
        <w:pStyle w:val="Heading1"/>
      </w:pPr>
      <w:r>
        <w:t>Scenario 2 — Marcus Thompson, Global Supply Chain Manager</w:t>
      </w:r>
    </w:p>
    <w:p>
      <w:r>
        <w:t>Compare fuel prices across countries and regions, examine historical trends and visible volatility, and consider implications for transport costs and procurement. Forecasting is not claimed as completed because no validated forecasting model has been confirmed.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18"/>
              </w:rPr>
              <w:t>Empathy area</w:t>
            </w:r>
          </w:p>
        </w:tc>
        <w:tc>
          <w:tcPr>
            <w:tcW w:type="dxa" w:w="5112"/>
            <w:vAlign w:val="center"/>
          </w:tcPr>
          <w:p>
            <w:r>
              <w:rPr>
                <w:rFonts w:ascii="Arial" w:hAnsi="Arial"/>
                <w:b/>
                <w:sz w:val="18"/>
              </w:rPr>
              <w:t>Scenario-based summary</w:t>
            </w:r>
          </w:p>
        </w:tc>
      </w:tr>
      <w:tr>
        <w:tc>
          <w:tcPr>
            <w:tcW w:type="dxa" w:w="5112"/>
            <w:vAlign w:val="center"/>
          </w:tcPr>
          <w:p>
            <w:r>
              <w:rPr>
                <w:rFonts w:ascii="Arial" w:hAnsi="Arial"/>
                <w:sz w:val="18"/>
              </w:rPr>
              <w:t>Says</w:t>
            </w:r>
          </w:p>
        </w:tc>
        <w:tc>
          <w:tcPr>
            <w:tcW w:type="dxa" w:w="5112"/>
            <w:vAlign w:val="center"/>
          </w:tcPr>
          <w:p>
            <w:r>
              <w:rPr>
                <w:rFonts w:ascii="Arial" w:hAnsi="Arial"/>
                <w:sz w:val="18"/>
              </w:rPr>
              <w:t>Needs clear, comparable evidence about fuel prices, taxation, regions, and/or income groups.</w:t>
            </w:r>
          </w:p>
        </w:tc>
      </w:tr>
      <w:tr>
        <w:tc>
          <w:tcPr>
            <w:tcW w:type="dxa" w:w="5112"/>
            <w:vAlign w:val="center"/>
          </w:tcPr>
          <w:p>
            <w:r>
              <w:rPr>
                <w:rFonts w:ascii="Arial" w:hAnsi="Arial"/>
                <w:sz w:val="18"/>
              </w:rPr>
              <w:t>Thinks</w:t>
            </w:r>
          </w:p>
        </w:tc>
        <w:tc>
          <w:tcPr>
            <w:tcW w:type="dxa" w:w="5112"/>
            <w:vAlign w:val="center"/>
          </w:tcPr>
          <w:p>
            <w:r>
              <w:rPr>
                <w:rFonts w:ascii="Arial" w:hAnsi="Arial"/>
                <w:sz w:val="18"/>
              </w:rPr>
              <w:t>Wants to understand what the data shows and how confidently it can support a decision.</w:t>
            </w:r>
          </w:p>
        </w:tc>
      </w:tr>
      <w:tr>
        <w:tc>
          <w:tcPr>
            <w:tcW w:type="dxa" w:w="5112"/>
            <w:vAlign w:val="center"/>
          </w:tcPr>
          <w:p>
            <w:r>
              <w:rPr>
                <w:rFonts w:ascii="Arial" w:hAnsi="Arial"/>
                <w:sz w:val="18"/>
              </w:rPr>
              <w:t>Does</w:t>
            </w:r>
          </w:p>
        </w:tc>
        <w:tc>
          <w:tcPr>
            <w:tcW w:type="dxa" w:w="5112"/>
            <w:vAlign w:val="center"/>
          </w:tcPr>
          <w:p>
            <w:r>
              <w:rPr>
                <w:rFonts w:ascii="Arial" w:hAnsi="Arial"/>
                <w:sz w:val="18"/>
              </w:rPr>
              <w:t>Compares charts, countries, time periods, regions, or income-level groups.</w:t>
            </w:r>
          </w:p>
        </w:tc>
      </w:tr>
      <w:tr>
        <w:tc>
          <w:tcPr>
            <w:tcW w:type="dxa" w:w="5112"/>
            <w:vAlign w:val="center"/>
          </w:tcPr>
          <w:p>
            <w:r>
              <w:rPr>
                <w:rFonts w:ascii="Arial" w:hAnsi="Arial"/>
                <w:sz w:val="18"/>
              </w:rPr>
              <w:t>Feels / needs</w:t>
            </w:r>
          </w:p>
        </w:tc>
        <w:tc>
          <w:tcPr>
            <w:tcW w:type="dxa" w:w="5112"/>
            <w:vAlign w:val="center"/>
          </w:tcPr>
          <w:p>
            <w:r>
              <w:rPr>
                <w:rFonts w:ascii="Arial" w:hAnsi="Arial"/>
                <w:sz w:val="18"/>
              </w:rPr>
              <w:t>Needs reliable labels, transparent limitations, and a simple way to explore patterns.</w:t>
            </w:r>
          </w:p>
        </w:tc>
      </w:tr>
      <w:tr>
        <w:tc>
          <w:tcPr>
            <w:tcW w:type="dxa" w:w="5112"/>
            <w:vAlign w:val="center"/>
          </w:tcPr>
          <w:p>
            <w:r>
              <w:rPr>
                <w:rFonts w:ascii="Arial" w:hAnsi="Arial"/>
                <w:sz w:val="18"/>
              </w:rPr>
              <w:t>Pain points</w:t>
            </w:r>
          </w:p>
        </w:tc>
        <w:tc>
          <w:tcPr>
            <w:tcW w:type="dxa" w:w="5112"/>
            <w:vAlign w:val="center"/>
          </w:tcPr>
          <w:p>
            <w:r>
              <w:rPr>
                <w:rFonts w:ascii="Arial" w:hAnsi="Arial"/>
                <w:sz w:val="18"/>
              </w:rPr>
              <w:t>Different price levels, changing trends, incomplete context, and the risk of confusing association with causation.</w:t>
            </w:r>
          </w:p>
        </w:tc>
      </w:tr>
      <w:tr>
        <w:tc>
          <w:tcPr>
            <w:tcW w:type="dxa" w:w="5112"/>
            <w:vAlign w:val="center"/>
          </w:tcPr>
          <w:p>
            <w:r>
              <w:rPr>
                <w:rFonts w:ascii="Arial" w:hAnsi="Arial"/>
                <w:sz w:val="18"/>
              </w:rPr>
              <w:t>Desired gain</w:t>
            </w:r>
          </w:p>
        </w:tc>
        <w:tc>
          <w:tcPr>
            <w:tcW w:type="dxa" w:w="5112"/>
            <w:vAlign w:val="center"/>
          </w:tcPr>
          <w:p>
            <w:r>
              <w:rPr>
                <w:rFonts w:ascii="Arial" w:hAnsi="Arial"/>
                <w:sz w:val="18"/>
              </w:rPr>
              <w:t>A clear, interactive overview that supports further policy, logistics, or research analysis.</w:t>
            </w:r>
          </w:p>
        </w:tc>
      </w:tr>
    </w:tbl>
    <w:p/>
    <w:p>
      <w:pPr>
        <w:pStyle w:val="Heading1"/>
      </w:pPr>
      <w:r>
        <w:t>Scenario 3 — Professor Elena Rodriguez, Energy Economics Researcher</w:t>
      </w:r>
    </w:p>
    <w:p>
      <w:r>
        <w:t>Explore associations between fuel prices, taxation, income levels, and affordability. Interpret scatter plots and comparisons as associations, not proof of causation; subsidy-specific conclusions require a confirmed subsidy field or other supporting evidence.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18"/>
              </w:rPr>
              <w:t>Empathy area</w:t>
            </w:r>
          </w:p>
        </w:tc>
        <w:tc>
          <w:tcPr>
            <w:tcW w:type="dxa" w:w="5112"/>
            <w:vAlign w:val="center"/>
          </w:tcPr>
          <w:p>
            <w:r>
              <w:rPr>
                <w:rFonts w:ascii="Arial" w:hAnsi="Arial"/>
                <w:b/>
                <w:sz w:val="18"/>
              </w:rPr>
              <w:t>Scenario-based summary</w:t>
            </w:r>
          </w:p>
        </w:tc>
      </w:tr>
      <w:tr>
        <w:tc>
          <w:tcPr>
            <w:tcW w:type="dxa" w:w="5112"/>
            <w:vAlign w:val="center"/>
          </w:tcPr>
          <w:p>
            <w:r>
              <w:rPr>
                <w:rFonts w:ascii="Arial" w:hAnsi="Arial"/>
                <w:sz w:val="18"/>
              </w:rPr>
              <w:t>Says</w:t>
            </w:r>
          </w:p>
        </w:tc>
        <w:tc>
          <w:tcPr>
            <w:tcW w:type="dxa" w:w="5112"/>
            <w:vAlign w:val="center"/>
          </w:tcPr>
          <w:p>
            <w:r>
              <w:rPr>
                <w:rFonts w:ascii="Arial" w:hAnsi="Arial"/>
                <w:sz w:val="18"/>
              </w:rPr>
              <w:t>Needs clear, comparable evidence about fuel prices, taxation, regions, and/or income groups.</w:t>
            </w:r>
          </w:p>
        </w:tc>
      </w:tr>
      <w:tr>
        <w:tc>
          <w:tcPr>
            <w:tcW w:type="dxa" w:w="5112"/>
            <w:vAlign w:val="center"/>
          </w:tcPr>
          <w:p>
            <w:r>
              <w:rPr>
                <w:rFonts w:ascii="Arial" w:hAnsi="Arial"/>
                <w:sz w:val="18"/>
              </w:rPr>
              <w:t>Thinks</w:t>
            </w:r>
          </w:p>
        </w:tc>
        <w:tc>
          <w:tcPr>
            <w:tcW w:type="dxa" w:w="5112"/>
            <w:vAlign w:val="center"/>
          </w:tcPr>
          <w:p>
            <w:r>
              <w:rPr>
                <w:rFonts w:ascii="Arial" w:hAnsi="Arial"/>
                <w:sz w:val="18"/>
              </w:rPr>
              <w:t>Wants to understand what the data shows and how confidently it can support a decision.</w:t>
            </w:r>
          </w:p>
        </w:tc>
      </w:tr>
      <w:tr>
        <w:tc>
          <w:tcPr>
            <w:tcW w:type="dxa" w:w="5112"/>
            <w:vAlign w:val="center"/>
          </w:tcPr>
          <w:p>
            <w:r>
              <w:rPr>
                <w:rFonts w:ascii="Arial" w:hAnsi="Arial"/>
                <w:sz w:val="18"/>
              </w:rPr>
              <w:t>Does</w:t>
            </w:r>
          </w:p>
        </w:tc>
        <w:tc>
          <w:tcPr>
            <w:tcW w:type="dxa" w:w="5112"/>
            <w:vAlign w:val="center"/>
          </w:tcPr>
          <w:p>
            <w:r>
              <w:rPr>
                <w:rFonts w:ascii="Arial" w:hAnsi="Arial"/>
                <w:sz w:val="18"/>
              </w:rPr>
              <w:t>Compares charts, countries, time periods, regions, or income-level groups.</w:t>
            </w:r>
          </w:p>
        </w:tc>
      </w:tr>
      <w:tr>
        <w:tc>
          <w:tcPr>
            <w:tcW w:type="dxa" w:w="5112"/>
            <w:vAlign w:val="center"/>
          </w:tcPr>
          <w:p>
            <w:r>
              <w:rPr>
                <w:rFonts w:ascii="Arial" w:hAnsi="Arial"/>
                <w:sz w:val="18"/>
              </w:rPr>
              <w:t>Feels / needs</w:t>
            </w:r>
          </w:p>
        </w:tc>
        <w:tc>
          <w:tcPr>
            <w:tcW w:type="dxa" w:w="5112"/>
            <w:vAlign w:val="center"/>
          </w:tcPr>
          <w:p>
            <w:r>
              <w:rPr>
                <w:rFonts w:ascii="Arial" w:hAnsi="Arial"/>
                <w:sz w:val="18"/>
              </w:rPr>
              <w:t>Needs reliable labels, transparent limitations, and a simple way to explore patterns.</w:t>
            </w:r>
          </w:p>
        </w:tc>
      </w:tr>
      <w:tr>
        <w:tc>
          <w:tcPr>
            <w:tcW w:type="dxa" w:w="5112"/>
            <w:vAlign w:val="center"/>
          </w:tcPr>
          <w:p>
            <w:r>
              <w:rPr>
                <w:rFonts w:ascii="Arial" w:hAnsi="Arial"/>
                <w:sz w:val="18"/>
              </w:rPr>
              <w:t>Pain points</w:t>
            </w:r>
          </w:p>
        </w:tc>
        <w:tc>
          <w:tcPr>
            <w:tcW w:type="dxa" w:w="5112"/>
            <w:vAlign w:val="center"/>
          </w:tcPr>
          <w:p>
            <w:r>
              <w:rPr>
                <w:rFonts w:ascii="Arial" w:hAnsi="Arial"/>
                <w:sz w:val="18"/>
              </w:rPr>
              <w:t>Different price levels, changing trends, incomplete context, and the risk of confusing association with causation.</w:t>
            </w:r>
          </w:p>
        </w:tc>
      </w:tr>
      <w:tr>
        <w:tc>
          <w:tcPr>
            <w:tcW w:type="dxa" w:w="5112"/>
            <w:vAlign w:val="center"/>
          </w:tcPr>
          <w:p>
            <w:r>
              <w:rPr>
                <w:rFonts w:ascii="Arial" w:hAnsi="Arial"/>
                <w:sz w:val="18"/>
              </w:rPr>
              <w:t>Desired gain</w:t>
            </w:r>
          </w:p>
        </w:tc>
        <w:tc>
          <w:tcPr>
            <w:tcW w:type="dxa" w:w="5112"/>
            <w:vAlign w:val="center"/>
          </w:tcPr>
          <w:p>
            <w:r>
              <w:rPr>
                <w:rFonts w:ascii="Arial" w:hAnsi="Arial"/>
                <w:sz w:val="18"/>
              </w:rPr>
              <w:t>A clear, interactive overview that supports further policy, logistics, or research analysis.</w:t>
            </w:r>
          </w:p>
        </w:tc>
      </w:tr>
    </w:tbl>
    <w:p/>
    <w:p>
      <w:pPr>
        <w:pStyle w:val="Heading1"/>
      </w:pPr>
      <w:r>
        <w:t>Design Implications</w:t>
      </w:r>
    </w:p>
    <w:p>
      <w:pPr>
        <w:pStyle w:val="ListBullet"/>
      </w:pPr>
      <w:r>
        <w:t>Use clear titles, units, legends, and readable comparisons.</w:t>
      </w:r>
    </w:p>
    <w:p>
      <w:pPr>
        <w:pStyle w:val="ListBullet"/>
      </w:pPr>
      <w:r>
        <w:t>Keep filters understandable and verify that they update the intended charts.</w:t>
      </w:r>
    </w:p>
    <w:p>
      <w:pPr>
        <w:pStyle w:val="ListBullet"/>
      </w:pPr>
      <w:r>
        <w:t>State dataset coverage and analytical limitations.</w:t>
      </w:r>
    </w:p>
    <w:p>
      <w:pPr>
        <w:pStyle w:val="ListBullet"/>
      </w:pPr>
      <w:r>
        <w:t>Avoid claiming subsidy impacts without confirmed data and avoid causal claims from correlations.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