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E2D74" w14:textId="77777777" w:rsidR="007573FF"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2F82A4DE" w14:textId="77777777" w:rsidR="007573FF" w:rsidRDefault="007573FF">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573FF" w14:paraId="1231A77E" w14:textId="77777777">
        <w:tc>
          <w:tcPr>
            <w:tcW w:w="4680" w:type="dxa"/>
            <w:tcMar>
              <w:top w:w="100" w:type="dxa"/>
              <w:left w:w="100" w:type="dxa"/>
              <w:bottom w:w="100" w:type="dxa"/>
              <w:right w:w="100" w:type="dxa"/>
            </w:tcMar>
          </w:tcPr>
          <w:p w14:paraId="41FB9770"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6BED85C4" w14:textId="289A1B70" w:rsidR="007573FF" w:rsidRDefault="005F448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2928E0">
              <w:rPr>
                <w:rFonts w:ascii="Times New Roman" w:eastAsia="Times New Roman" w:hAnsi="Times New Roman" w:cs="Times New Roman"/>
                <w:sz w:val="24"/>
                <w:szCs w:val="24"/>
              </w:rPr>
              <w:t>8</w:t>
            </w:r>
            <w:r>
              <w:rPr>
                <w:rFonts w:ascii="Times New Roman" w:eastAsia="Times New Roman" w:hAnsi="Times New Roman" w:cs="Times New Roman"/>
                <w:sz w:val="24"/>
                <w:szCs w:val="24"/>
              </w:rPr>
              <w:t>/10/2026</w:t>
            </w:r>
          </w:p>
        </w:tc>
      </w:tr>
      <w:tr w:rsidR="007573FF" w14:paraId="4035A581" w14:textId="77777777">
        <w:tc>
          <w:tcPr>
            <w:tcW w:w="4680" w:type="dxa"/>
            <w:tcMar>
              <w:top w:w="100" w:type="dxa"/>
              <w:left w:w="100" w:type="dxa"/>
              <w:bottom w:w="100" w:type="dxa"/>
              <w:right w:w="100" w:type="dxa"/>
            </w:tcMar>
          </w:tcPr>
          <w:p w14:paraId="15F346D9"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30F19D8B" w14:textId="0617561E" w:rsidR="007573FF" w:rsidRDefault="002928E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Suhani </w:t>
            </w:r>
            <w:proofErr w:type="spellStart"/>
            <w:r>
              <w:rPr>
                <w:rFonts w:ascii="Times New Roman" w:eastAsia="Times New Roman" w:hAnsi="Times New Roman" w:cs="Times New Roman"/>
                <w:sz w:val="24"/>
                <w:szCs w:val="24"/>
              </w:rPr>
              <w:t>jain</w:t>
            </w:r>
            <w:proofErr w:type="spellEnd"/>
          </w:p>
        </w:tc>
      </w:tr>
      <w:tr w:rsidR="007573FF" w14:paraId="21647006" w14:textId="77777777">
        <w:tc>
          <w:tcPr>
            <w:tcW w:w="4680" w:type="dxa"/>
            <w:tcMar>
              <w:top w:w="100" w:type="dxa"/>
              <w:left w:w="100" w:type="dxa"/>
              <w:bottom w:w="100" w:type="dxa"/>
              <w:right w:w="100" w:type="dxa"/>
            </w:tcMar>
          </w:tcPr>
          <w:p w14:paraId="651B0EB1"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5A0F8B6B" w14:textId="79213B73"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b/>
                <w:bCs/>
                <w:sz w:val="24"/>
                <w:szCs w:val="24"/>
              </w:rPr>
              <w:t>Electric Vehicle Market Performance &amp; Insights</w:t>
            </w:r>
          </w:p>
        </w:tc>
      </w:tr>
      <w:tr w:rsidR="007573FF" w14:paraId="706B2AE1" w14:textId="77777777">
        <w:tc>
          <w:tcPr>
            <w:tcW w:w="4680" w:type="dxa"/>
            <w:tcMar>
              <w:top w:w="100" w:type="dxa"/>
              <w:left w:w="100" w:type="dxa"/>
              <w:bottom w:w="100" w:type="dxa"/>
              <w:right w:w="100" w:type="dxa"/>
            </w:tcMar>
          </w:tcPr>
          <w:p w14:paraId="252A5C17"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651BA3E3"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5A58FDC3" w14:textId="77777777" w:rsidR="007573FF" w:rsidRDefault="007573FF">
      <w:pPr>
        <w:widowControl/>
        <w:spacing w:after="160" w:line="120" w:lineRule="auto"/>
        <w:rPr>
          <w:rFonts w:ascii="Times New Roman" w:eastAsia="Times New Roman" w:hAnsi="Times New Roman" w:cs="Times New Roman"/>
        </w:rPr>
      </w:pPr>
    </w:p>
    <w:p w14:paraId="230BFDC7" w14:textId="77777777" w:rsidR="007573FF"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1E139044" w14:textId="77777777" w:rsidR="007573FF"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7573FF" w14:paraId="56CBDBAD" w14:textId="77777777">
        <w:trPr>
          <w:trHeight w:val="478"/>
        </w:trPr>
        <w:tc>
          <w:tcPr>
            <w:tcW w:w="9360" w:type="dxa"/>
            <w:gridSpan w:val="2"/>
            <w:shd w:val="clear" w:color="auto" w:fill="FFFFFF"/>
            <w:tcMar>
              <w:top w:w="100" w:type="dxa"/>
              <w:left w:w="100" w:type="dxa"/>
              <w:bottom w:w="100" w:type="dxa"/>
              <w:right w:w="100" w:type="dxa"/>
            </w:tcMar>
          </w:tcPr>
          <w:p w14:paraId="6F92336D" w14:textId="77777777" w:rsidR="007573F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7573FF" w14:paraId="34270090" w14:textId="77777777">
        <w:trPr>
          <w:trHeight w:val="478"/>
        </w:trPr>
        <w:tc>
          <w:tcPr>
            <w:tcW w:w="2415" w:type="dxa"/>
            <w:tcMar>
              <w:top w:w="100" w:type="dxa"/>
              <w:left w:w="100" w:type="dxa"/>
              <w:bottom w:w="100" w:type="dxa"/>
              <w:right w:w="100" w:type="dxa"/>
            </w:tcMar>
          </w:tcPr>
          <w:p w14:paraId="65B75815"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945"/>
            </w:tblGrid>
            <w:tr w:rsidR="005F448C" w:rsidRPr="005F448C" w14:paraId="7A583905" w14:textId="77777777">
              <w:trPr>
                <w:tblCellSpacing w:w="15" w:type="dxa"/>
              </w:trPr>
              <w:tc>
                <w:tcPr>
                  <w:tcW w:w="36" w:type="dxa"/>
                  <w:tcBorders>
                    <w:bottom w:val="single" w:sz="6" w:space="0" w:color="42444D"/>
                  </w:tcBorders>
                  <w:vAlign w:val="center"/>
                  <w:hideMark/>
                </w:tcPr>
                <w:p w14:paraId="0C843683" w14:textId="77777777" w:rsidR="005F448C" w:rsidRPr="005F448C" w:rsidRDefault="005F448C" w:rsidP="005F448C">
                  <w:pPr>
                    <w:widowControl/>
                    <w:rPr>
                      <w:rFonts w:ascii="Times New Roman" w:eastAsia="Times New Roman" w:hAnsi="Times New Roman" w:cs="Times New Roman"/>
                      <w:sz w:val="24"/>
                      <w:szCs w:val="24"/>
                      <w:lang w:val="en-IN"/>
                    </w:rPr>
                  </w:pPr>
                </w:p>
              </w:tc>
              <w:tc>
                <w:tcPr>
                  <w:tcW w:w="8900" w:type="dxa"/>
                  <w:tcBorders>
                    <w:bottom w:val="single" w:sz="6" w:space="0" w:color="42444D"/>
                  </w:tcBorders>
                  <w:vAlign w:val="center"/>
                  <w:hideMark/>
                </w:tcPr>
                <w:p w14:paraId="472BE760" w14:textId="2F8541F8" w:rsidR="005F448C" w:rsidRPr="005F448C" w:rsidRDefault="005F448C" w:rsidP="005F448C">
                  <w:pPr>
                    <w:widowControl/>
                    <w:rPr>
                      <w:rFonts w:ascii="Arial" w:eastAsia="Times New Roman" w:hAnsi="Arial" w:cs="Arial"/>
                      <w:sz w:val="21"/>
                      <w:szCs w:val="21"/>
                      <w:lang w:val="en-IN"/>
                    </w:rPr>
                  </w:pPr>
                  <w:r w:rsidRPr="005F448C">
                    <w:rPr>
                      <w:rFonts w:ascii="Arial" w:eastAsia="Times New Roman" w:hAnsi="Arial" w:cs="Arial"/>
                      <w:sz w:val="21"/>
                      <w:szCs w:val="21"/>
                      <w:lang w:val="en-IN"/>
                    </w:rPr>
                    <w:t>Analyse EV market performance and present clear insights on sales, manufacturers, vehicle categories, battery technologies, driving range, and customer satisfaction.</w:t>
                  </w:r>
                </w:p>
              </w:tc>
            </w:tr>
          </w:tbl>
          <w:p w14:paraId="45BB0E79" w14:textId="6DA921D7" w:rsidR="007573FF" w:rsidRDefault="007573FF">
            <w:pPr>
              <w:pBdr>
                <w:top w:val="nil"/>
                <w:left w:val="nil"/>
                <w:bottom w:val="nil"/>
                <w:right w:val="nil"/>
                <w:between w:val="nil"/>
              </w:pBdr>
              <w:rPr>
                <w:rFonts w:ascii="Times New Roman" w:eastAsia="Times New Roman" w:hAnsi="Times New Roman" w:cs="Times New Roman"/>
                <w:sz w:val="24"/>
                <w:szCs w:val="24"/>
              </w:rPr>
            </w:pPr>
          </w:p>
        </w:tc>
      </w:tr>
      <w:tr w:rsidR="007573FF" w14:paraId="256BE5F3" w14:textId="77777777">
        <w:trPr>
          <w:trHeight w:val="478"/>
        </w:trPr>
        <w:tc>
          <w:tcPr>
            <w:tcW w:w="2415" w:type="dxa"/>
            <w:tcMar>
              <w:top w:w="100" w:type="dxa"/>
              <w:left w:w="100" w:type="dxa"/>
              <w:bottom w:w="100" w:type="dxa"/>
              <w:right w:w="100" w:type="dxa"/>
            </w:tcMar>
          </w:tcPr>
          <w:p w14:paraId="574D6E86"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5095FF31" w14:textId="737E06AD"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Explore available EV market data, clean and prepare it, calculate key indicators, and build visual reports or an interactive dashboard. Conclusions are limited to the fields and period available in the dataset.</w:t>
            </w:r>
          </w:p>
        </w:tc>
      </w:tr>
      <w:tr w:rsidR="007573FF" w14:paraId="2F612262" w14:textId="77777777">
        <w:trPr>
          <w:trHeight w:val="478"/>
        </w:trPr>
        <w:tc>
          <w:tcPr>
            <w:tcW w:w="9360" w:type="dxa"/>
            <w:gridSpan w:val="2"/>
            <w:shd w:val="clear" w:color="auto" w:fill="FFFFFF"/>
            <w:tcMar>
              <w:top w:w="100" w:type="dxa"/>
              <w:left w:w="100" w:type="dxa"/>
              <w:bottom w:w="100" w:type="dxa"/>
              <w:right w:w="100" w:type="dxa"/>
            </w:tcMar>
          </w:tcPr>
          <w:p w14:paraId="37616B60" w14:textId="77777777" w:rsidR="007573F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7573FF" w14:paraId="3216A039" w14:textId="77777777">
        <w:trPr>
          <w:trHeight w:val="478"/>
        </w:trPr>
        <w:tc>
          <w:tcPr>
            <w:tcW w:w="2415" w:type="dxa"/>
            <w:tcMar>
              <w:top w:w="100" w:type="dxa"/>
              <w:left w:w="100" w:type="dxa"/>
              <w:bottom w:w="100" w:type="dxa"/>
              <w:right w:w="100" w:type="dxa"/>
            </w:tcMar>
          </w:tcPr>
          <w:p w14:paraId="3C70E1A5"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518D3AD3" w14:textId="518FCAAE"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EV market information is spread across multiple metrics and vehicle segments, making it difficult to compare manufacturers, technologies, regions, and customer feedback in one place.</w:t>
            </w:r>
          </w:p>
        </w:tc>
      </w:tr>
      <w:tr w:rsidR="007573FF" w14:paraId="371D3ADD" w14:textId="77777777">
        <w:trPr>
          <w:trHeight w:val="478"/>
        </w:trPr>
        <w:tc>
          <w:tcPr>
            <w:tcW w:w="2415" w:type="dxa"/>
            <w:tcMar>
              <w:top w:w="100" w:type="dxa"/>
              <w:left w:w="100" w:type="dxa"/>
              <w:bottom w:w="100" w:type="dxa"/>
              <w:right w:w="100" w:type="dxa"/>
            </w:tcMar>
          </w:tcPr>
          <w:p w14:paraId="290D6FF1"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038C441A" w14:textId="733D547D"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A consolidated view can reduce manual comparison effort, make trends easier to identify, and support market planning, product positioning, and sustainable-mobility research.</w:t>
            </w:r>
          </w:p>
        </w:tc>
      </w:tr>
      <w:tr w:rsidR="007573FF" w14:paraId="6D6A7E85" w14:textId="77777777">
        <w:trPr>
          <w:trHeight w:val="478"/>
        </w:trPr>
        <w:tc>
          <w:tcPr>
            <w:tcW w:w="9360" w:type="dxa"/>
            <w:gridSpan w:val="2"/>
            <w:shd w:val="clear" w:color="auto" w:fill="FFFFFF"/>
            <w:tcMar>
              <w:top w:w="100" w:type="dxa"/>
              <w:left w:w="100" w:type="dxa"/>
              <w:bottom w:w="100" w:type="dxa"/>
              <w:right w:w="100" w:type="dxa"/>
            </w:tcMar>
          </w:tcPr>
          <w:p w14:paraId="77680A92" w14:textId="77777777" w:rsidR="007573F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7573FF" w14:paraId="741F5EE8" w14:textId="77777777">
        <w:trPr>
          <w:trHeight w:val="478"/>
        </w:trPr>
        <w:tc>
          <w:tcPr>
            <w:tcW w:w="2415" w:type="dxa"/>
            <w:tcMar>
              <w:top w:w="100" w:type="dxa"/>
              <w:left w:w="100" w:type="dxa"/>
              <w:bottom w:w="100" w:type="dxa"/>
              <w:right w:w="100" w:type="dxa"/>
            </w:tcMar>
          </w:tcPr>
          <w:p w14:paraId="29849B58"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945"/>
            </w:tblGrid>
            <w:tr w:rsidR="005F448C" w:rsidRPr="005F448C" w14:paraId="008E3F91" w14:textId="77777777">
              <w:trPr>
                <w:tblCellSpacing w:w="15" w:type="dxa"/>
              </w:trPr>
              <w:tc>
                <w:tcPr>
                  <w:tcW w:w="36" w:type="dxa"/>
                  <w:tcBorders>
                    <w:bottom w:val="single" w:sz="6" w:space="0" w:color="42444D"/>
                  </w:tcBorders>
                  <w:vAlign w:val="center"/>
                  <w:hideMark/>
                </w:tcPr>
                <w:p w14:paraId="78FC9ABE" w14:textId="77777777" w:rsidR="005F448C" w:rsidRPr="005F448C" w:rsidRDefault="005F448C" w:rsidP="005F448C">
                  <w:pPr>
                    <w:widowControl/>
                    <w:rPr>
                      <w:rFonts w:ascii="Times New Roman" w:eastAsia="Times New Roman" w:hAnsi="Times New Roman" w:cs="Times New Roman"/>
                      <w:sz w:val="24"/>
                      <w:szCs w:val="24"/>
                      <w:lang w:val="en-IN"/>
                    </w:rPr>
                  </w:pPr>
                </w:p>
              </w:tc>
              <w:tc>
                <w:tcPr>
                  <w:tcW w:w="8900" w:type="dxa"/>
                  <w:tcBorders>
                    <w:bottom w:val="single" w:sz="6" w:space="0" w:color="42444D"/>
                  </w:tcBorders>
                  <w:vAlign w:val="center"/>
                  <w:hideMark/>
                </w:tcPr>
                <w:p w14:paraId="0DC959FF" w14:textId="77777777" w:rsidR="005F448C" w:rsidRPr="005F448C" w:rsidRDefault="005F448C" w:rsidP="005F448C">
                  <w:pPr>
                    <w:widowControl/>
                    <w:rPr>
                      <w:rFonts w:ascii="Arial" w:eastAsia="Times New Roman" w:hAnsi="Arial" w:cs="Arial"/>
                      <w:sz w:val="21"/>
                      <w:szCs w:val="21"/>
                      <w:lang w:val="en-IN"/>
                    </w:rPr>
                  </w:pPr>
                  <w:r w:rsidRPr="005F448C">
                    <w:rPr>
                      <w:rFonts w:ascii="Arial" w:eastAsia="Times New Roman" w:hAnsi="Arial" w:cs="Arial"/>
                      <w:sz w:val="21"/>
                      <w:szCs w:val="21"/>
                      <w:lang w:val="en-IN"/>
                    </w:rPr>
                    <w:t xml:space="preserve">Import the dataset, validate and clean records, standardize categories, </w:t>
                  </w:r>
                  <w:proofErr w:type="spellStart"/>
                  <w:r w:rsidRPr="005F448C">
                    <w:rPr>
                      <w:rFonts w:ascii="Arial" w:eastAsia="Times New Roman" w:hAnsi="Arial" w:cs="Arial"/>
                      <w:sz w:val="21"/>
                      <w:szCs w:val="21"/>
                      <w:lang w:val="en-IN"/>
                    </w:rPr>
                    <w:t>analyze</w:t>
                  </w:r>
                  <w:proofErr w:type="spellEnd"/>
                  <w:r w:rsidRPr="005F448C">
                    <w:rPr>
                      <w:rFonts w:ascii="Arial" w:eastAsia="Times New Roman" w:hAnsi="Arial" w:cs="Arial"/>
                      <w:sz w:val="21"/>
                      <w:szCs w:val="21"/>
                      <w:lang w:val="en-IN"/>
                    </w:rPr>
                    <w:t xml:space="preserve"> KPIs, and present findings with charts, KPI cards, filters, and comparisons.</w:t>
                  </w:r>
                </w:p>
              </w:tc>
            </w:tr>
          </w:tbl>
          <w:p w14:paraId="5F484F84" w14:textId="05110515" w:rsidR="007573FF" w:rsidRDefault="007573FF">
            <w:pPr>
              <w:pBdr>
                <w:top w:val="nil"/>
                <w:left w:val="nil"/>
                <w:bottom w:val="nil"/>
                <w:right w:val="nil"/>
                <w:between w:val="nil"/>
              </w:pBdr>
              <w:rPr>
                <w:rFonts w:ascii="Times New Roman" w:eastAsia="Times New Roman" w:hAnsi="Times New Roman" w:cs="Times New Roman"/>
                <w:sz w:val="24"/>
                <w:szCs w:val="24"/>
              </w:rPr>
            </w:pPr>
          </w:p>
        </w:tc>
      </w:tr>
      <w:tr w:rsidR="007573FF" w14:paraId="399AA6E3" w14:textId="77777777">
        <w:trPr>
          <w:trHeight w:val="478"/>
        </w:trPr>
        <w:tc>
          <w:tcPr>
            <w:tcW w:w="2415" w:type="dxa"/>
            <w:tcMar>
              <w:top w:w="100" w:type="dxa"/>
              <w:left w:w="100" w:type="dxa"/>
              <w:bottom w:w="100" w:type="dxa"/>
              <w:right w:w="100" w:type="dxa"/>
            </w:tcMar>
          </w:tcPr>
          <w:p w14:paraId="7288CFF5"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059ED694" w14:textId="38AAE217"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 xml:space="preserve">Annual EV sales analysis; manufacturer and market-share comparison; battery technology distribution; driving-range and </w:t>
            </w:r>
            <w:r w:rsidRPr="005F448C">
              <w:rPr>
                <w:rFonts w:ascii="Times New Roman" w:eastAsia="Times New Roman" w:hAnsi="Times New Roman" w:cs="Times New Roman"/>
                <w:sz w:val="24"/>
                <w:szCs w:val="24"/>
              </w:rPr>
              <w:lastRenderedPageBreak/>
              <w:t>battery-capacity comparison; manufacturing-country analysis; customer-rating insights.</w:t>
            </w:r>
          </w:p>
        </w:tc>
      </w:tr>
    </w:tbl>
    <w:p w14:paraId="7D011200" w14:textId="77777777" w:rsidR="007573FF" w:rsidRDefault="007573FF">
      <w:pPr>
        <w:widowControl/>
        <w:spacing w:after="160" w:line="120" w:lineRule="auto"/>
        <w:rPr>
          <w:rFonts w:ascii="Times New Roman" w:eastAsia="Times New Roman" w:hAnsi="Times New Roman" w:cs="Times New Roman"/>
          <w:sz w:val="24"/>
          <w:szCs w:val="24"/>
        </w:rPr>
      </w:pPr>
    </w:p>
    <w:p w14:paraId="2D1C8B67" w14:textId="77777777" w:rsidR="007573FF"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573FF" w14:paraId="1E15D543"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B1CBC92"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87AF1D2"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F9BFBBF"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7573FF" w14:paraId="7A9D0CB3"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A31D04"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7573FF" w14:paraId="34C1FC8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FD1E98"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8B98E5" w14:textId="4A024F98"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Computer or laptop for data processing and dashboard development.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753D6B" w14:textId="7A23AB17"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Standard laptop/PC; CPU and RAM depend on dataset size.</w:t>
            </w:r>
          </w:p>
        </w:tc>
      </w:tr>
      <w:tr w:rsidR="007573FF" w14:paraId="65AB506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00910C"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C924F7" w14:textId="6CBAB990"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RAM for loading, cleaning, and analyzing the dataset.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9C0CFF" w14:textId="6A9A90AD"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b/>
                <w:bCs/>
                <w:sz w:val="24"/>
                <w:szCs w:val="24"/>
              </w:rPr>
              <w:t>8 GB RAM recommended</w:t>
            </w:r>
            <w:r w:rsidRPr="005F448C">
              <w:rPr>
                <w:rFonts w:ascii="Times New Roman" w:eastAsia="Times New Roman" w:hAnsi="Times New Roman" w:cs="Times New Roman"/>
                <w:sz w:val="24"/>
                <w:szCs w:val="24"/>
              </w:rPr>
              <w:t xml:space="preserve">; </w:t>
            </w:r>
            <w:r w:rsidRPr="005F448C">
              <w:rPr>
                <w:rFonts w:ascii="Times New Roman" w:eastAsia="Times New Roman" w:hAnsi="Times New Roman" w:cs="Times New Roman"/>
                <w:b/>
                <w:bCs/>
                <w:sz w:val="24"/>
                <w:szCs w:val="24"/>
              </w:rPr>
              <w:t>16 GB helpful</w:t>
            </w:r>
            <w:r w:rsidRPr="005F448C">
              <w:rPr>
                <w:rFonts w:ascii="Times New Roman" w:eastAsia="Times New Roman" w:hAnsi="Times New Roman" w:cs="Times New Roman"/>
                <w:sz w:val="24"/>
                <w:szCs w:val="24"/>
              </w:rPr>
              <w:t xml:space="preserve"> for larger datasets.</w:t>
            </w:r>
          </w:p>
        </w:tc>
      </w:tr>
      <w:tr w:rsidR="007573FF" w14:paraId="209738AC"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37667C"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gridCol w:w="110"/>
            </w:tblGrid>
            <w:tr w:rsidR="005F448C" w:rsidRPr="005F448C" w14:paraId="62B97601" w14:textId="00E349D7" w:rsidTr="005F448C">
              <w:trPr>
                <w:tblCellSpacing w:w="15" w:type="dxa"/>
              </w:trPr>
              <w:tc>
                <w:tcPr>
                  <w:tcW w:w="65" w:type="dxa"/>
                  <w:tcBorders>
                    <w:bottom w:val="single" w:sz="6" w:space="0" w:color="42444D"/>
                  </w:tcBorders>
                  <w:vAlign w:val="center"/>
                  <w:hideMark/>
                </w:tcPr>
                <w:p w14:paraId="409FC5C3" w14:textId="77777777" w:rsidR="005F448C" w:rsidRPr="005F448C" w:rsidRDefault="005F448C" w:rsidP="005F448C">
                  <w:pPr>
                    <w:widowControl/>
                    <w:rPr>
                      <w:rFonts w:ascii="Times New Roman" w:eastAsia="Times New Roman" w:hAnsi="Times New Roman" w:cs="Times New Roman"/>
                      <w:sz w:val="24"/>
                      <w:szCs w:val="24"/>
                      <w:lang w:val="en-IN"/>
                    </w:rPr>
                  </w:pPr>
                </w:p>
              </w:tc>
              <w:tc>
                <w:tcPr>
                  <w:tcW w:w="65" w:type="dxa"/>
                  <w:tcBorders>
                    <w:bottom w:val="single" w:sz="6" w:space="0" w:color="42444D"/>
                  </w:tcBorders>
                </w:tcPr>
                <w:p w14:paraId="2A947886" w14:textId="77777777" w:rsidR="005F448C" w:rsidRPr="005F448C" w:rsidRDefault="005F448C" w:rsidP="005F448C">
                  <w:pPr>
                    <w:widowControl/>
                    <w:rPr>
                      <w:rFonts w:ascii="Times New Roman" w:eastAsia="Times New Roman" w:hAnsi="Times New Roman" w:cs="Times New Roman"/>
                      <w:sz w:val="24"/>
                      <w:szCs w:val="24"/>
                      <w:lang w:val="en-IN"/>
                    </w:rPr>
                  </w:pPr>
                </w:p>
              </w:tc>
            </w:tr>
          </w:tbl>
          <w:p w14:paraId="0063ADAB" w14:textId="7569A419"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Space for raw data, cleaned data, project files, reports, and backups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0A2E19" w14:textId="16D1A9BE"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 xml:space="preserve">At least </w:t>
            </w:r>
            <w:r w:rsidRPr="005F448C">
              <w:rPr>
                <w:rFonts w:ascii="Times New Roman" w:eastAsia="Times New Roman" w:hAnsi="Times New Roman" w:cs="Times New Roman"/>
                <w:b/>
                <w:bCs/>
                <w:sz w:val="24"/>
                <w:szCs w:val="24"/>
              </w:rPr>
              <w:t>5–10 GB free space</w:t>
            </w:r>
            <w:r w:rsidRPr="005F448C">
              <w:rPr>
                <w:rFonts w:ascii="Times New Roman" w:eastAsia="Times New Roman" w:hAnsi="Times New Roman" w:cs="Times New Roman"/>
                <w:sz w:val="24"/>
                <w:szCs w:val="24"/>
              </w:rPr>
              <w:t>, depending on dataset size.</w:t>
            </w:r>
          </w:p>
        </w:tc>
      </w:tr>
      <w:tr w:rsidR="007573FF" w14:paraId="327071D7"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65DA31"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7573FF" w14:paraId="5662381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C13C8"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1FAEDC" w14:textId="49989652"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Tool to clean data, calculate metrics, and create charts or dashboard.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83E12C" w14:textId="229BEFB6"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Power BI, Tableau, Excel, or Python libraries—use the tool actually selected.</w:t>
            </w:r>
          </w:p>
        </w:tc>
      </w:tr>
      <w:tr w:rsidR="007573FF" w14:paraId="691BBFB6"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0F964A"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0561FD" w14:textId="649306A3"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Optional libraries for data cleaning and analysis if using Python.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8CD6DD" w14:textId="37210713"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Pandas, NumPy, Matplotlib/Seaborn (only if Python is used).</w:t>
            </w:r>
          </w:p>
        </w:tc>
      </w:tr>
      <w:tr w:rsidR="007573FF" w14:paraId="3AA68E0E"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96AABE"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211E00" w14:textId="1B82D4D4"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Application used to edit, analyze, and manage project files.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88E42E" w14:textId="575E326B"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Power BI Desktop / Excel / Jupyter Notebook / VS Code, as applicable.</w:t>
            </w:r>
          </w:p>
        </w:tc>
      </w:tr>
      <w:tr w:rsidR="007573FF" w14:paraId="1C81E525"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A484A8"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7573FF" w14:paraId="638DDEB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407430"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B634AC" w14:textId="0E654746"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Source and fields for sales, manufacturer, vehicle type, battery specifications, range, country, and customer ratings.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0F7F27" w14:textId="10A58767"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CSV/Excel or other available dataset; record source, time period, row count, and data limitations.</w:t>
            </w:r>
          </w:p>
        </w:tc>
      </w:tr>
    </w:tbl>
    <w:p w14:paraId="54A72EA9" w14:textId="77777777" w:rsidR="007573FF" w:rsidRDefault="007573FF">
      <w:pPr>
        <w:widowControl/>
        <w:spacing w:after="160" w:line="259" w:lineRule="auto"/>
        <w:rPr>
          <w:rFonts w:ascii="Times New Roman" w:eastAsia="Times New Roman" w:hAnsi="Times New Roman" w:cs="Times New Roman"/>
          <w:sz w:val="24"/>
          <w:szCs w:val="24"/>
        </w:rPr>
      </w:pPr>
    </w:p>
    <w:p w14:paraId="2CB5EB1A" w14:textId="77777777" w:rsidR="007573FF" w:rsidRDefault="007573FF">
      <w:pPr>
        <w:widowControl/>
        <w:spacing w:after="160" w:line="259" w:lineRule="auto"/>
        <w:rPr>
          <w:rFonts w:ascii="Times New Roman" w:eastAsia="Times New Roman" w:hAnsi="Times New Roman" w:cs="Times New Roman"/>
        </w:rPr>
      </w:pPr>
    </w:p>
    <w:sectPr w:rsidR="007573FF">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E545E" w14:textId="77777777" w:rsidR="00686B61" w:rsidRDefault="00686B61">
      <w:r>
        <w:separator/>
      </w:r>
    </w:p>
  </w:endnote>
  <w:endnote w:type="continuationSeparator" w:id="0">
    <w:p w14:paraId="416184B5" w14:textId="77777777" w:rsidR="00686B61" w:rsidRDefault="00686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C689B2C-6DE7-47C4-BA36-94B683A2711B}"/>
    <w:embedBold r:id="rId2" w:fontKey="{751BA000-A1E0-44B0-895D-43B892F03ED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4A2044A-AF80-47EF-BB6F-4F73537A3558}"/>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4" w:fontKey="{8739C42C-26A2-4E34-93EA-B6E2CCA5646D}"/>
  </w:font>
  <w:font w:name="Cambria">
    <w:panose1 w:val="02040503050406030204"/>
    <w:charset w:val="00"/>
    <w:family w:val="roman"/>
    <w:pitch w:val="variable"/>
    <w:sig w:usb0="E00006FF" w:usb1="420024FF" w:usb2="02000000" w:usb3="00000000" w:csb0="0000019F" w:csb1="00000000"/>
    <w:embedRegular r:id="rId5" w:fontKey="{C3762D93-4FAC-4D09-A3AE-6CF7252314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BF99F" w14:textId="77777777" w:rsidR="00686B61" w:rsidRDefault="00686B61">
      <w:r>
        <w:separator/>
      </w:r>
    </w:p>
  </w:footnote>
  <w:footnote w:type="continuationSeparator" w:id="0">
    <w:p w14:paraId="7CC9DE22" w14:textId="77777777" w:rsidR="00686B61" w:rsidRDefault="00686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EF417" w14:textId="77777777" w:rsidR="007573FF" w:rsidRDefault="00000000">
    <w:pPr>
      <w:jc w:val="both"/>
    </w:pPr>
    <w:r>
      <w:rPr>
        <w:noProof/>
      </w:rPr>
      <w:drawing>
        <wp:anchor distT="114300" distB="114300" distL="114300" distR="114300" simplePos="0" relativeHeight="251658240" behindDoc="0" locked="0" layoutInCell="1" hidden="0" allowOverlap="1" wp14:anchorId="5E8928AF" wp14:editId="4EEAAD9F">
          <wp:simplePos x="0" y="0"/>
          <wp:positionH relativeFrom="page">
            <wp:posOffset>57150</wp:posOffset>
          </wp:positionH>
          <wp:positionV relativeFrom="page">
            <wp:posOffset>-28574</wp:posOffset>
          </wp:positionV>
          <wp:extent cx="1376363" cy="5898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1606F957" w14:textId="77777777" w:rsidR="007573FF" w:rsidRDefault="007573FF"/>
  <w:p w14:paraId="2498300F" w14:textId="77777777" w:rsidR="007573FF" w:rsidRDefault="007573F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3FF"/>
    <w:rsid w:val="002928E0"/>
    <w:rsid w:val="003C0957"/>
    <w:rsid w:val="005A1EDC"/>
    <w:rsid w:val="005F448C"/>
    <w:rsid w:val="00686B61"/>
    <w:rsid w:val="007573FF"/>
    <w:rsid w:val="00EB526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44E7"/>
  <w15:docId w15:val="{45D37DCC-6393-4E62-B19D-D729B4610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Aditi kapadia</dc:creator>
  <cp:lastModifiedBy>Pushpendra Jain</cp:lastModifiedBy>
  <cp:revision>2</cp:revision>
  <dcterms:created xsi:type="dcterms:W3CDTF">2026-10-28T14:24:00Z</dcterms:created>
  <dcterms:modified xsi:type="dcterms:W3CDTF">2026-10-28T14:24:00Z</dcterms:modified>
</cp:coreProperties>
</file>