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495E" w14:textId="77777777" w:rsidR="009079B5" w:rsidRDefault="009079B5" w:rsidP="009079B5">
      <w:r>
        <w:t>Project Report: Electric Vehicle (EV) Market Analysis</w:t>
      </w:r>
    </w:p>
    <w:p w14:paraId="399A6ACC" w14:textId="2390BF84" w:rsidR="009079B5" w:rsidRDefault="009079B5" w:rsidP="009079B5">
      <w:r>
        <w:t xml:space="preserve">Student Name: </w:t>
      </w:r>
      <w:r>
        <w:t>Tanishka Sharma</w:t>
      </w:r>
    </w:p>
    <w:p w14:paraId="73FFF12B" w14:textId="187BD91D" w:rsidR="009079B5" w:rsidRDefault="009079B5" w:rsidP="009079B5">
      <w:proofErr w:type="spellStart"/>
      <w:proofErr w:type="gramStart"/>
      <w:r>
        <w:t>Enrollment</w:t>
      </w:r>
      <w:proofErr w:type="spellEnd"/>
      <w:r>
        <w:t xml:space="preserve"> </w:t>
      </w:r>
      <w:r>
        <w:t xml:space="preserve"> Number</w:t>
      </w:r>
      <w:proofErr w:type="gramEnd"/>
      <w:r>
        <w:t xml:space="preserve">: </w:t>
      </w:r>
      <w:r>
        <w:t xml:space="preserve"> en25cs3010968</w:t>
      </w:r>
    </w:p>
    <w:p w14:paraId="3CD3EF64" w14:textId="77777777" w:rsidR="009079B5" w:rsidRDefault="009079B5" w:rsidP="009079B5">
      <w:r>
        <w:t>Tool Used: Tableau Desktop 2026.3</w:t>
      </w:r>
    </w:p>
    <w:p w14:paraId="2993910B" w14:textId="77777777" w:rsidR="009079B5" w:rsidRDefault="009079B5" w:rsidP="009079B5">
      <w:r>
        <w:t>1. Project Objective</w:t>
      </w:r>
    </w:p>
    <w:p w14:paraId="1D3011F0" w14:textId="77777777" w:rsidR="009079B5" w:rsidRDefault="009079B5" w:rsidP="009079B5">
      <w:r>
        <w:t xml:space="preserve">To </w:t>
      </w:r>
      <w:proofErr w:type="spellStart"/>
      <w:r>
        <w:t>analyze</w:t>
      </w:r>
      <w:proofErr w:type="spellEnd"/>
      <w:r>
        <w:t xml:space="preserve"> global electric vehicle sales trends, benchmark competitive manufacturer performance, and evaluate year-over-year adoption growth using Tableau.</w:t>
      </w:r>
    </w:p>
    <w:p w14:paraId="582CEDD7" w14:textId="77777777" w:rsidR="009079B5" w:rsidRDefault="009079B5" w:rsidP="009079B5">
      <w:r>
        <w:t>2. Dataset Summary</w:t>
      </w:r>
    </w:p>
    <w:p w14:paraId="4EAD4026" w14:textId="77777777" w:rsidR="009079B5" w:rsidRDefault="009079B5" w:rsidP="009079B5">
      <w:r>
        <w:t xml:space="preserve"> Total Records: 200 records</w:t>
      </w:r>
    </w:p>
    <w:p w14:paraId="6782D2FC" w14:textId="77777777" w:rsidR="009079B5" w:rsidRDefault="009079B5" w:rsidP="009079B5">
      <w:r>
        <w:t xml:space="preserve"> Total Attributes: 37 fields</w:t>
      </w:r>
    </w:p>
    <w:p w14:paraId="20E4FDF1" w14:textId="77777777" w:rsidR="009079B5" w:rsidRDefault="009079B5" w:rsidP="009079B5">
      <w:r>
        <w:t xml:space="preserve"> Key Variables: </w:t>
      </w:r>
      <w:r>
        <w:rPr>
          <w:rFonts w:ascii="Segoe UI Symbol" w:hAnsi="Segoe UI Symbol" w:cs="Segoe UI Symbol"/>
        </w:rPr>
        <w:t>⁠</w:t>
      </w:r>
      <w:r>
        <w:t>Manufacturer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Annual Sales Units</w:t>
      </w:r>
      <w:r>
        <w:rPr>
          <w:rFonts w:ascii="Segoe UI Symbol" w:hAnsi="Segoe UI Symbol" w:cs="Segoe UI Symbol"/>
        </w:rPr>
        <w:t>⁠</w:t>
      </w:r>
      <w:r>
        <w:t xml:space="preserve">, </w:t>
      </w:r>
      <w:r>
        <w:rPr>
          <w:rFonts w:ascii="Segoe UI Symbol" w:hAnsi="Segoe UI Symbol" w:cs="Segoe UI Symbol"/>
        </w:rPr>
        <w:t>⁠</w:t>
      </w:r>
      <w:r>
        <w:t>Model Year</w:t>
      </w:r>
      <w:r>
        <w:rPr>
          <w:rFonts w:ascii="Segoe UI Symbol" w:hAnsi="Segoe UI Symbol" w:cs="Segoe UI Symbol"/>
        </w:rPr>
        <w:t>⁠</w:t>
      </w:r>
    </w:p>
    <w:p w14:paraId="0BEECBB7" w14:textId="77777777" w:rsidR="009079B5" w:rsidRDefault="009079B5" w:rsidP="009079B5">
      <w:r>
        <w:t>3. Visualizations Created</w:t>
      </w:r>
    </w:p>
    <w:p w14:paraId="6309D1B1" w14:textId="77777777" w:rsidR="009079B5" w:rsidRDefault="009079B5" w:rsidP="009079B5">
      <w:r>
        <w:t xml:space="preserve"> Manufacturer Performance (Bar Chart): Compares total annual sales units across manufacturers, showing key market competitors operating near the 3M–4M unit range.</w:t>
      </w:r>
    </w:p>
    <w:p w14:paraId="0ABE6592" w14:textId="77777777" w:rsidR="009079B5" w:rsidRDefault="009079B5" w:rsidP="009079B5">
      <w:r>
        <w:t xml:space="preserve"> Sales Trend by Model Year (Line Chart): </w:t>
      </w:r>
      <w:proofErr w:type="spellStart"/>
      <w:r>
        <w:t>Analyzes</w:t>
      </w:r>
      <w:proofErr w:type="spellEnd"/>
      <w:r>
        <w:t xml:space="preserve"> market adoption trajectory over time, showcasing cumulative market growth reaching around 80M–90M units.</w:t>
      </w:r>
    </w:p>
    <w:p w14:paraId="454B4597" w14:textId="77777777" w:rsidR="009079B5" w:rsidRDefault="009079B5" w:rsidP="009079B5">
      <w:r>
        <w:t>4. Interactive Dashboard</w:t>
      </w:r>
    </w:p>
    <w:p w14:paraId="73B98A7E" w14:textId="4646BFA3" w:rsidR="009079B5" w:rsidRDefault="009079B5" w:rsidP="009079B5">
      <w:r w:rsidRPr="009079B5">
        <w:lastRenderedPageBreak/>
        <w:drawing>
          <wp:inline distT="0" distB="0" distL="0" distR="0" wp14:anchorId="2332991F" wp14:editId="61629B1C">
            <wp:extent cx="5731510" cy="4989830"/>
            <wp:effectExtent l="0" t="0" r="2540" b="1270"/>
            <wp:docPr id="1484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FF68" w14:textId="77777777" w:rsidR="009079B5" w:rsidRDefault="009079B5" w:rsidP="009079B5">
      <w:r>
        <w:t>5. Key Insights &amp; Conclusion</w:t>
      </w:r>
    </w:p>
    <w:p w14:paraId="7E0D0787" w14:textId="77777777" w:rsidR="009079B5" w:rsidRDefault="009079B5" w:rsidP="009079B5">
      <w:r>
        <w:t xml:space="preserve"> Competitive Balance: Sales distribution across major EV brands indicates strong market competition rather than a single dominant player.</w:t>
      </w:r>
    </w:p>
    <w:p w14:paraId="54E6C293" w14:textId="77777777" w:rsidR="009079B5" w:rsidRDefault="009079B5" w:rsidP="009079B5">
      <w:r>
        <w:t xml:space="preserve"> Market Growth: Multi-year trendlines reflect steady, positive adoption and expanding consumer demand for electric mobility.</w:t>
      </w:r>
    </w:p>
    <w:p w14:paraId="0FA709EF" w14:textId="33C3570C" w:rsidR="009079B5" w:rsidRDefault="009079B5" w:rsidP="009079B5">
      <w:r>
        <w:t xml:space="preserve"> Conclusion: The interactive Tableau dashboard successfully condenses multi-dimensional EV market data into an intuitive visual format for quick decision-making and performance benchmarking.</w:t>
      </w:r>
    </w:p>
    <w:sectPr w:rsidR="0090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B5"/>
    <w:rsid w:val="0057646B"/>
    <w:rsid w:val="0090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B55C"/>
  <w15:chartTrackingRefBased/>
  <w15:docId w15:val="{5CC8C307-C2C4-41D1-9838-12B77E79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1</cp:revision>
  <dcterms:created xsi:type="dcterms:W3CDTF">2026-10-27T18:43:00Z</dcterms:created>
  <dcterms:modified xsi:type="dcterms:W3CDTF">2026-10-27T18:49:00Z</dcterms:modified>
</cp:coreProperties>
</file>