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40"/>
        <w:jc w:val="left"/>
      </w:pPr>
      <w:r>
        <w:rPr>
          <w:rFonts w:ascii="Arial" w:hAnsi="Arial" w:eastAsia="Arial"/>
          <w:b/>
          <w:color w:val="1B4F72"/>
          <w:sz w:val="32"/>
        </w:rPr>
        <w:t>Casos para anotar (20)</w:t>
      </w:r>
    </w:p>
    <w:p>
      <w:pPr>
        <w:jc w:val="center"/>
      </w:pPr>
      <w:r>
        <w:t>____________________________________________________________</w:t>
      </w:r>
    </w:p>
    <w:p>
      <w:pPr>
        <w:keepNext/>
        <w:spacing w:before="240"/>
        <w:jc w:val="left"/>
      </w:pPr>
      <w:r>
        <w:rPr>
          <w:rFonts w:ascii="Arial" w:hAnsi="Arial" w:eastAsia="Arial"/>
          <w:b/>
          <w:color w:val="1B4F72"/>
          <w:sz w:val="26"/>
        </w:rPr>
        <w:t>R01</w:t>
      </w:r>
    </w:p>
    <w:p>
      <w:pPr>
        <w:spacing w:after="120"/>
        <w:jc w:val="both"/>
      </w:pPr>
      <w:r>
        <w:rPr>
          <w:rFonts w:ascii="Arial" w:hAnsi="Arial" w:eastAsia="Arial"/>
          <w:b/>
          <w:sz w:val="22"/>
        </w:rPr>
        <w:t>Pregunta:</w:t>
      </w:r>
      <w:r>
        <w:rPr>
          <w:rFonts w:ascii="Arial" w:hAnsi="Arial" w:eastAsia="Arial"/>
          <w:b w:val="0"/>
          <w:sz w:val="22"/>
        </w:rPr>
        <w:t xml:space="preserve"> What was the main problem reported by users of the application during 2021–2023, and how does it relate to the OECD trend in Costa Rica's health expenditure as a percentage of GDP over the same period?</w:t>
      </w:r>
    </w:p>
    <w:p>
      <w:pPr>
        <w:spacing w:after="120"/>
        <w:jc w:val="both"/>
      </w:pPr>
      <w:r>
        <w:rPr>
          <w:rFonts w:ascii="Arial" w:hAnsi="Arial" w:eastAsia="Arial"/>
          <w:b/>
          <w:sz w:val="22"/>
        </w:rPr>
        <w:t>Llamadas a herramientas (en el orden emitido):</w:t>
      </w:r>
    </w:p>
    <w:p>
      <w:pPr>
        <w:ind w:left="454" w:hanging="283"/>
        <w:jc w:val="left"/>
      </w:pPr>
      <w:r>
        <w:rPr>
          <w:rFonts w:ascii="Arial" w:hAnsi="Arial" w:eastAsia="Arial"/>
          <w:b w:val="0"/>
          <w:sz w:val="22"/>
        </w:rPr>
        <w:t xml:space="preserve">1. </w:t>
      </w:r>
      <w:r>
        <w:rPr>
          <w:rFonts w:ascii="Consolas" w:hAnsi="Consolas" w:eastAsia="Consolas"/>
          <w:sz w:val="18"/>
        </w:rPr>
        <w:t>query_local_reviews</w:t>
      </w:r>
      <w:r>
        <w:rPr>
          <w:rFonts w:ascii="Arial" w:hAnsi="Arial" w:eastAsia="Arial"/>
          <w:b w:val="0"/>
          <w:sz w:val="22"/>
        </w:rPr>
        <w:t xml:space="preserve"> — argumentos: </w:t>
      </w:r>
      <w:r>
        <w:rPr>
          <w:rFonts w:ascii="Consolas" w:hAnsi="Consolas" w:eastAsia="Consolas"/>
          <w:sz w:val="18"/>
        </w:rPr>
        <w:t>{"start_date": "2021-01-01", "end_date": "2023-12-31"}</w:t>
      </w:r>
    </w:p>
    <w:p>
      <w:pPr>
        <w:spacing w:after="120"/>
        <w:jc w:val="both"/>
      </w:pPr>
      <w:r>
        <w:rPr>
          <w:rFonts w:ascii="Arial" w:hAnsi="Arial" w:eastAsia="Arial"/>
          <w:b w:val="0"/>
          <w:sz w:val="22"/>
        </w:rPr>
        <w:t>Resultado: OK</w:t>
      </w:r>
    </w:p>
    <w:p>
      <w:pPr>
        <w:ind w:left="454"/>
        <w:jc w:val="left"/>
      </w:pPr>
      <w:r>
        <w:rPr>
          <w:rFonts w:ascii="Consolas" w:hAnsi="Consolas" w:eastAsia="Consolas"/>
          <w:sz w:val="18"/>
        </w:rPr>
        <w:t>{"source": "local_reviews", "date_range": {"start": "2021-01-01", "end": "2023-12-31"}, "total_reviews": 28488, "valid_reviews_for_analysis": 28488, "sentiment_distribution": {"POS": 20468, "NEG": 5926, "NEU": 2094}, "top_negative_keywords": [["citas", 2583], ["nunca", 2307], ["sacar", 1892], ["cita", 1885], ["mala", 662], ["puede", 623], ["sirve", 528], ["nada", 478], ["uno", 450], ["disponibles", 449], ["pésima", 362], ["puedo", 358], ["dice", 301], ["información", 300], ["solo", 289]], "sample_negative_reviews": ["Es demasiado mala, casi nunca funciona bien, si trato de reestablecer mi contraseña, me envía lun link a mi correo registrado, sigo el link, e introduzca mi nueva contraseña, pero me da un fallo. Trato de reestablecer de nuevo, pero ya no me genera un nuevo correo de recuperación de contraseña. Es una de las peores aplicaciones que existen.", "Me cae mal esta aplicación porque nunca hay cita cuando en realidad lo necesita.", "Rara vez se encuentran citas, y no actualizan la información", "La verdad solo porque duré días sin conectarme, intento entrar y me pide iniciar sesión, la cual olvidé mi contraseña e intento recuperar y me dicen que el código es incorrecto. La verdad no veo seriedad en eso.", "Regular"], "negative_review_count": 5926, "topic_coverage": {"with_topic_assignment": 5926, "missing_topic_assignment_count": 0, "assigned_non_noise_count": 3971, "topic_noise_count": 1955, "excluded_assigned_review_count": 496, "substantive_problem_count": 3475, "substantive_coverage_pct": 58.6399}, "problem_categories": [{"category": "ACCESO_CITAS", "count": 2275, "pct_of_substantive_problems": 65.4676, "pct_of_negative_reviews": 38.3901}, {"category": "INFORMACION_CLINICA", "count": 464, "pct_of_substantive_problems": 13.3525, "pct_of_negative_reviews": 7.8299}, {"category": "RENDIMIENTO_APP", "count": 301, "pct_of_substantive_problems": 8.6619, "pct_of_negative_reviews": 5.0793}, {"category": "AUTENTICACION_ACCESO", "count": 264, "pct_of_substantive_problems": 7.5971, "pct_of_negative_reviews": 4.4549}, {"category": "CALIDAD_ACTUALIZACION_INFO", "count": 79, "pct_of_substantive_problems": 2.2734, "pct_of_negative_reviews": 1.3331}, {"category": "INFORMACION_ADMINISTRATIVA", "count": 52, "pct_of_substantive_problems": 1.4964, "pct_of_negative_reviews": 0.8775}, {"category": "REGISTRO_CUENTA", "count": 40, "pct_of_substantive_problems": 1.1511, "pct_of_negative_reviews": 0.675}], "main_problem": {"category": "ACCESO_CITAS", "count": 2275, "pct_of_substantive_problems": 65.4676, "pct_of_negative_reviews": 38.3901}, "invalid_rating_count": 0, "invalid_rating_pct": 0.0}</w:t>
      </w:r>
    </w:p>
    <w:p>
      <w:pPr>
        <w:ind w:left="454" w:hanging="283"/>
        <w:jc w:val="left"/>
      </w:pPr>
      <w:r>
        <w:rPr>
          <w:rFonts w:ascii="Arial" w:hAnsi="Arial" w:eastAsia="Arial"/>
          <w:b w:val="0"/>
          <w:sz w:val="22"/>
        </w:rPr>
        <w:t xml:space="preserve">2. </w:t>
      </w:r>
      <w:r>
        <w:rPr>
          <w:rFonts w:ascii="Consolas" w:hAnsi="Consolas" w:eastAsia="Consolas"/>
          <w:sz w:val="18"/>
        </w:rPr>
        <w:t>get_oecd_indicator</w:t>
      </w:r>
      <w:r>
        <w:rPr>
          <w:rFonts w:ascii="Arial" w:hAnsi="Arial" w:eastAsia="Arial"/>
          <w:b w:val="0"/>
          <w:sz w:val="22"/>
        </w:rPr>
        <w:t xml:space="preserve"> — argumentos: </w:t>
      </w:r>
      <w:r>
        <w:rPr>
          <w:rFonts w:ascii="Consolas" w:hAnsi="Consolas" w:eastAsia="Consolas"/>
          <w:sz w:val="18"/>
        </w:rPr>
        <w:t>{"country_iso3": "CRI", "indicator": "health_expenditure_pct_gdp", "start_period": "2021"}</w:t>
      </w:r>
    </w:p>
    <w:p>
      <w:pPr>
        <w:spacing w:after="120"/>
        <w:jc w:val="both"/>
      </w:pPr>
      <w:r>
        <w:rPr>
          <w:rFonts w:ascii="Arial" w:hAnsi="Arial" w:eastAsia="Arial"/>
          <w:b w:val="0"/>
          <w:sz w:val="22"/>
        </w:rPr>
        <w:t>Resultado: OK</w:t>
      </w:r>
    </w:p>
    <w:p>
      <w:pPr>
        <w:ind w:left="454"/>
        <w:jc w:val="left"/>
      </w:pPr>
      <w:r>
        <w:rPr>
          <w:rFonts w:ascii="Consolas" w:hAnsi="Consolas" w:eastAsia="Consolas"/>
          <w:sz w:val="18"/>
        </w:rPr>
        <w:t>{"source": "OECD", "dataflow": "OECD.ELS.HD,DSD_SHA@DF_SHA,", "key": "CRI.A.EXP_HEALTH.PT_B1GQ._T._Z._T._T._T._Z._Z._Z", "country_iso3": "CRI", "observations": [{"year": "2021", "value": 7.611}, {"year": "2022", "value": 7.184}, {"year": "2023", "value": 6.866}, {"year": "2024", "value": 6.91}, {"year": "2025", "value": 6.776}], "query_url": "https://sdmx.oecd.org/public/rest/data/OECD.ELS.HD,DSD_SHA@DF_SHA,/CRI.A.EXP_HEALTH.PT_B1GQ._T._Z._T._T._T._Z._Z._Z?startPeriod=2021", "response_meta": {"schema": "https://raw.githubusercontent.com/sdmx-twg/sdmx-json/master/data-message/tools/schemas/2.0.0/sdmx-json-data-schema.json", "id": "IREF001005", "prepared": "2026-09-07T02:46:32Z", "test": false, "contentLanguages": ["en", "en-US"], "sender": {"id": "Disseminate_Final_DMZ", "name": "unknown", "names": {"en-US": "unknown"}}}}</w:t>
      </w:r>
    </w:p>
    <w:p>
      <w:pPr>
        <w:spacing w:after="120"/>
        <w:jc w:val="both"/>
      </w:pPr>
      <w:r>
        <w:rPr>
          <w:rFonts w:ascii="Arial" w:hAnsi="Arial" w:eastAsia="Arial"/>
          <w:b/>
          <w:sz w:val="22"/>
        </w:rPr>
        <w:t>Respuesta final del sistema:</w:t>
      </w:r>
    </w:p>
    <w:p>
      <w:pPr>
        <w:ind w:left="454"/>
        <w:jc w:val="both"/>
      </w:pPr>
      <w:r>
        <w:rPr>
          <w:rFonts w:ascii="Arial" w:hAnsi="Arial" w:eastAsia="Arial"/>
          <w:b w:val="0"/>
          <w:sz w:val="21"/>
        </w:rPr>
        <w:t>During the period from 2021 to 2023, the main problem reported by users of the digital health application was related to "ACCESO_CITAS" (appointment access), which accounted for 65.47% of substantive problems and 38.39% of all negative reviews. Users frequently mentioned issues with booking appointments, as reflected in the top negative keywords such as "citas" (appointments) and "nunca" (never).</w:t>
      </w:r>
    </w:p>
    <w:p>
      <w:pPr>
        <w:ind w:left="454"/>
        <w:jc w:val="both"/>
      </w:pPr>
    </w:p>
    <w:p>
      <w:pPr>
        <w:ind w:left="454"/>
        <w:jc w:val="both"/>
      </w:pPr>
      <w:r>
        <w:rPr>
          <w:rFonts w:ascii="Arial" w:hAnsi="Arial" w:eastAsia="Arial"/>
          <w:b w:val="0"/>
          <w:sz w:val="21"/>
        </w:rPr>
        <w:t>In parallel, the OECD data for Costa Rica's health expenditure as a percentage of GDP showed a declining trend over the same period. The health expenditure was 7.611% of GDP in 2021, decreased to 7.184% in 2022, and further declined to 6.866% in 2023.</w:t>
      </w:r>
    </w:p>
    <w:p>
      <w:pPr>
        <w:ind w:left="454"/>
        <w:jc w:val="both"/>
      </w:pPr>
    </w:p>
    <w:p>
      <w:pPr>
        <w:ind w:left="454"/>
        <w:jc w:val="both"/>
      </w:pPr>
      <w:r>
        <w:rPr>
          <w:rFonts w:ascii="Arial" w:hAnsi="Arial" w:eastAsia="Arial"/>
          <w:b w:val="0"/>
          <w:sz w:val="21"/>
        </w:rPr>
        <w:t>The decline in health expenditure as a percentage of GDP might correlate with the reported difficulties in accessing appointments, as reduced funding could potentially impact the availability and efficiency of healthcare services, including appointment scheduling systems.</w:t>
      </w:r>
    </w:p>
    <w:p>
      <w:pPr>
        <w:jc w:val="center"/>
      </w:pPr>
      <w:r>
        <w:t>____________________________________________________________</w:t>
      </w:r>
    </w:p>
    <w:p>
      <w:pPr>
        <w:keepNext/>
        <w:spacing w:before="240"/>
        <w:jc w:val="left"/>
      </w:pPr>
      <w:r>
        <w:rPr>
          <w:rFonts w:ascii="Arial" w:hAnsi="Arial" w:eastAsia="Arial"/>
          <w:b/>
          <w:color w:val="1B4F72"/>
          <w:sz w:val="26"/>
        </w:rPr>
        <w:t>R02</w:t>
      </w:r>
    </w:p>
    <w:p>
      <w:pPr>
        <w:spacing w:after="120"/>
        <w:jc w:val="both"/>
      </w:pPr>
      <w:r>
        <w:rPr>
          <w:rFonts w:ascii="Arial" w:hAnsi="Arial" w:eastAsia="Arial"/>
          <w:b/>
          <w:sz w:val="22"/>
        </w:rPr>
        <w:t>Pregunta:</w:t>
      </w:r>
      <w:r>
        <w:rPr>
          <w:rFonts w:ascii="Arial" w:hAnsi="Arial" w:eastAsia="Arial"/>
          <w:b w:val="0"/>
          <w:sz w:val="22"/>
        </w:rPr>
        <w:t xml:space="preserve"> What was the most frequent word (or words, if there is a tie) among negative application reviews during 2021–2023, how frequent was it relative to all negative reviews, and how did the World Bank domestic general government health expenditure as a percentage of GDP and OECD health expenditure as a percentage of GDP change over the same period?</w:t>
      </w:r>
    </w:p>
    <w:p>
      <w:pPr>
        <w:spacing w:after="120"/>
        <w:jc w:val="both"/>
      </w:pPr>
      <w:r>
        <w:rPr>
          <w:rFonts w:ascii="Arial" w:hAnsi="Arial" w:eastAsia="Arial"/>
          <w:b/>
          <w:sz w:val="22"/>
        </w:rPr>
        <w:t>Llamadas a herramientas (en el orden emitido):</w:t>
      </w:r>
    </w:p>
    <w:p>
      <w:pPr>
        <w:ind w:left="454" w:hanging="283"/>
        <w:jc w:val="left"/>
      </w:pPr>
      <w:r>
        <w:rPr>
          <w:rFonts w:ascii="Arial" w:hAnsi="Arial" w:eastAsia="Arial"/>
          <w:b w:val="0"/>
          <w:sz w:val="22"/>
        </w:rPr>
        <w:t xml:space="preserve">1. </w:t>
      </w:r>
      <w:r>
        <w:rPr>
          <w:rFonts w:ascii="Consolas" w:hAnsi="Consolas" w:eastAsia="Consolas"/>
          <w:sz w:val="18"/>
        </w:rPr>
        <w:t>query_local_reviews</w:t>
      </w:r>
      <w:r>
        <w:rPr>
          <w:rFonts w:ascii="Arial" w:hAnsi="Arial" w:eastAsia="Arial"/>
          <w:b w:val="0"/>
          <w:sz w:val="22"/>
        </w:rPr>
        <w:t xml:space="preserve"> — argumentos: </w:t>
      </w:r>
      <w:r>
        <w:rPr>
          <w:rFonts w:ascii="Consolas" w:hAnsi="Consolas" w:eastAsia="Consolas"/>
          <w:sz w:val="18"/>
        </w:rPr>
        <w:t>{"start_date": "2021-01-01", "end_date": "2023-12-31"}</w:t>
      </w:r>
    </w:p>
    <w:p>
      <w:pPr>
        <w:spacing w:after="120"/>
        <w:jc w:val="both"/>
      </w:pPr>
      <w:r>
        <w:rPr>
          <w:rFonts w:ascii="Arial" w:hAnsi="Arial" w:eastAsia="Arial"/>
          <w:b w:val="0"/>
          <w:sz w:val="22"/>
        </w:rPr>
        <w:t>Resultado: OK</w:t>
      </w:r>
    </w:p>
    <w:p>
      <w:pPr>
        <w:ind w:left="454"/>
        <w:jc w:val="left"/>
      </w:pPr>
      <w:r>
        <w:rPr>
          <w:rFonts w:ascii="Consolas" w:hAnsi="Consolas" w:eastAsia="Consolas"/>
          <w:sz w:val="18"/>
        </w:rPr>
        <w:t>{"source": "local_reviews", "date_range": {"start": "2021-01-01", "end": "2023-12-31"}, "total_reviews": 28488, "valid_reviews_for_analysis": 28488, "sentiment_distribution": {"POS": 20468, "NEG": 5926, "NEU": 2094}, "top_negative_keywords": [["citas", 2583], ["nunca", 2307], ["sacar", 1892], ["cita", 1885], ["mala", 662], ["puede", 623], ["sirve", 528], ["nada", 478], ["uno", 450], ["disponibles", 449], ["pésima", 362], ["puedo", 358], ["dice", 301], ["información", 300], ["solo", 289]], "sample_negative_reviews": ["Es demasiado mala, casi nunca funciona bien, si trato de reestablecer mi contraseña, me envía lun link a mi correo registrado, sigo el link, e introduzca mi nueva contraseña, pero me da un fallo. Trato de reestablecer de nuevo, pero ya no me genera un nuevo correo de recuperación de contraseña. Es una de las peores aplicaciones que existen.", "Me cae mal esta aplicación porque nunca hay cita cuando en realidad lo necesita.", "Rara vez se encuentran citas, y no actualizan la información", "La verdad solo porque duré días sin conectarme, intento entrar y me pide iniciar sesión, la cual olvidé mi contraseña e intento recuperar y me dicen que el código es incorrecto. La verdad no veo seriedad en eso.", "Regular"], "negative_review_count": 5926, "topic_coverage": {"with_topic_assignment": 5926, "missing_topic_assignment_count": 0, "assigned_non_noise_count": 3971, "topic_noise_count": 1955, "excluded_assigned_review_count": 496, "substantive_problem_count": 3475, "substantive_coverage_pct": 58.6399}, "problem_categories": [{"category": "ACCESO_CITAS", "count": 2275, "pct_of_substantive_problems": 65.4676, "pct_of_negative_reviews": 38.3901}, {"category": "INFORMACION_CLINICA", "count": 464, "pct_of_substantive_problems": 13.3525, "pct_of_negative_reviews": 7.8299}, {"category": "RENDIMIENTO_APP", "count": 301, "pct_of_substantive_problems": 8.6619, "pct_of_negative_reviews": 5.0793}, {"category": "AUTENTICACION_ACCESO", "count": 264, "pct_of_substantive_problems": 7.5971, "pct_of_negative_reviews": 4.4549}, {"category": "CALIDAD_ACTUALIZACION_INFO", "count": 79, "pct_of_substantive_problems": 2.2734, "pct_of_negative_reviews": 1.3331}, {"category": "INFORMACION_ADMINISTRATIVA", "count": 52, "pct_of_substantive_problems": 1.4964, "pct_of_negative_reviews": 0.8775}, {"category": "REGISTRO_CUENTA", "count": 40, "pct_of_substantive_problems": 1.1511, "pct_of_negative_reviews": 0.675}], "main_problem": {"category": "ACCESO_CITAS", "count": 2275, "pct_of_substantive_problems": 65.4676, "pct_of_negative_reviews": 38.3901}, "invalid_rating_count": 0, "invalid_rating_pct": 0.0}</w:t>
      </w:r>
    </w:p>
    <w:p>
      <w:pPr>
        <w:ind w:left="454" w:hanging="283"/>
        <w:jc w:val="left"/>
      </w:pPr>
      <w:r>
        <w:rPr>
          <w:rFonts w:ascii="Arial" w:hAnsi="Arial" w:eastAsia="Arial"/>
          <w:b w:val="0"/>
          <w:sz w:val="22"/>
        </w:rPr>
        <w:t xml:space="preserve">2. </w:t>
      </w:r>
      <w:r>
        <w:rPr>
          <w:rFonts w:ascii="Consolas" w:hAnsi="Consolas" w:eastAsia="Consolas"/>
          <w:sz w:val="18"/>
        </w:rPr>
        <w:t>get_worldbank_indicator</w:t>
      </w:r>
      <w:r>
        <w:rPr>
          <w:rFonts w:ascii="Arial" w:hAnsi="Arial" w:eastAsia="Arial"/>
          <w:b w:val="0"/>
          <w:sz w:val="22"/>
        </w:rPr>
        <w:t xml:space="preserve"> — argumentos: </w:t>
      </w:r>
      <w:r>
        <w:rPr>
          <w:rFonts w:ascii="Consolas" w:hAnsi="Consolas" w:eastAsia="Consolas"/>
          <w:sz w:val="18"/>
        </w:rPr>
        <w:t>{"country_iso3": "USA", "indicator": "domestic_govt_health_expenditure_pct_gdp", "start_year": 2021, "end_year": 2023}</w:t>
      </w:r>
    </w:p>
    <w:p>
      <w:pPr>
        <w:spacing w:after="120"/>
        <w:jc w:val="both"/>
      </w:pPr>
      <w:r>
        <w:rPr>
          <w:rFonts w:ascii="Arial" w:hAnsi="Arial" w:eastAsia="Arial"/>
          <w:b w:val="0"/>
          <w:sz w:val="22"/>
        </w:rPr>
        <w:t>Resultado: OK</w:t>
      </w:r>
    </w:p>
    <w:p>
      <w:pPr>
        <w:ind w:left="454"/>
        <w:jc w:val="left"/>
      </w:pPr>
      <w:r>
        <w:rPr>
          <w:rFonts w:ascii="Consolas" w:hAnsi="Consolas" w:eastAsia="Consolas"/>
          <w:sz w:val="18"/>
        </w:rPr>
        <w:t>{"source": "World Bank", "indicator_code": "SH.XPD.GHED.GD.ZS", "indicator_name": "Domestic general government health expenditure (% of GDP)", "country_iso3": "USA", "observations": [{"year": "2021", "value": 9.62210751}, {"year": "2022", "value": 9.11976719}, {"year": "2023", "value": 9.00711727}], "query_url": "https://api.worldbank.org/v2/country/USA/indicator/SH.XPD.GHED.GD.ZS?format=json&amp;per_page=1000&amp;date=2021%3A2023"}</w:t>
      </w:r>
    </w:p>
    <w:p>
      <w:pPr>
        <w:ind w:left="454" w:hanging="283"/>
        <w:jc w:val="left"/>
      </w:pPr>
      <w:r>
        <w:rPr>
          <w:rFonts w:ascii="Arial" w:hAnsi="Arial" w:eastAsia="Arial"/>
          <w:b w:val="0"/>
          <w:sz w:val="22"/>
        </w:rPr>
        <w:t xml:space="preserve">3. </w:t>
      </w:r>
      <w:r>
        <w:rPr>
          <w:rFonts w:ascii="Consolas" w:hAnsi="Consolas" w:eastAsia="Consolas"/>
          <w:sz w:val="18"/>
        </w:rPr>
        <w:t>get_oecd_indicator</w:t>
      </w:r>
      <w:r>
        <w:rPr>
          <w:rFonts w:ascii="Arial" w:hAnsi="Arial" w:eastAsia="Arial"/>
          <w:b w:val="0"/>
          <w:sz w:val="22"/>
        </w:rPr>
        <w:t xml:space="preserve"> — argumentos: </w:t>
      </w:r>
      <w:r>
        <w:rPr>
          <w:rFonts w:ascii="Consolas" w:hAnsi="Consolas" w:eastAsia="Consolas"/>
          <w:sz w:val="18"/>
        </w:rPr>
        <w:t>{"country_iso3": "USA", "indicator": "health_expenditure_pct_gdp", "start_period": "2021"}</w:t>
      </w:r>
    </w:p>
    <w:p>
      <w:pPr>
        <w:spacing w:after="120"/>
        <w:jc w:val="both"/>
      </w:pPr>
      <w:r>
        <w:rPr>
          <w:rFonts w:ascii="Arial" w:hAnsi="Arial" w:eastAsia="Arial"/>
          <w:b w:val="0"/>
          <w:sz w:val="22"/>
        </w:rPr>
        <w:t>Resultado: OK</w:t>
      </w:r>
    </w:p>
    <w:p>
      <w:pPr>
        <w:ind w:left="454"/>
        <w:jc w:val="left"/>
      </w:pPr>
      <w:r>
        <w:rPr>
          <w:rFonts w:ascii="Consolas" w:hAnsi="Consolas" w:eastAsia="Consolas"/>
          <w:sz w:val="18"/>
        </w:rPr>
        <w:t>{"source": "OECD", "dataflow": "OECD.ELS.HD,DSD_SHA@DF_SHA,", "key": "USA.A.EXP_HEALTH.PT_B1GQ._T._Z._T._T._T._Z._Z._Z", "country_iso3": "USA", "observations": [{"year": "2021", "value": 17.53}, {"year": "2022", "value": 16.744}, {"year": "2023", "value": 16.87}, {"year": "2024", "value": 17.202}, {"year": "2025", "value": 17.598}], "query_url": "https://sdmx.oecd.org/public/rest/data/OECD.ELS.HD,DSD_SHA@DF_SHA,/USA.A.EXP_HEALTH.PT_B1GQ._T._Z._T._T._T._Z._Z._Z?startPeriod=2021", "response_meta": {"schema": "https://raw.githubusercontent.com/sdmx-twg/sdmx-json/master/data-message/tools/schemas/2.0.0/sdmx-json-data-schema.json", "id": "IREF001120", "prepared": "2026-09-07T02:47:58Z", "test": false, "contentLanguages": ["en", "en-US"], "sender": {"id": "Disseminate_Final_DMZ", "name": "unknown", "names": {"en-US": "unknown"}}}}</w:t>
      </w:r>
    </w:p>
    <w:p>
      <w:pPr>
        <w:spacing w:after="120"/>
        <w:jc w:val="both"/>
      </w:pPr>
      <w:r>
        <w:rPr>
          <w:rFonts w:ascii="Arial" w:hAnsi="Arial" w:eastAsia="Arial"/>
          <w:b/>
          <w:sz w:val="22"/>
        </w:rPr>
        <w:t>Respuesta final del sistema:</w:t>
      </w:r>
    </w:p>
    <w:p>
      <w:pPr>
        <w:ind w:left="454"/>
        <w:jc w:val="both"/>
      </w:pPr>
      <w:r>
        <w:rPr>
          <w:rFonts w:ascii="Arial" w:hAnsi="Arial" w:eastAsia="Arial"/>
          <w:b w:val="0"/>
          <w:sz w:val="21"/>
        </w:rPr>
        <w:t>During the period from 2021 to 2023, the most frequent word among negative reviews of the digital health application was "citas" (appointments), appearing 2,583 times. This word was present in approximately 43.57% of all negative reviews, given that there were 5,926 negative reviews in total.</w:t>
      </w:r>
    </w:p>
    <w:p>
      <w:pPr>
        <w:ind w:left="454"/>
        <w:jc w:val="both"/>
      </w:pPr>
    </w:p>
    <w:p>
      <w:pPr>
        <w:ind w:left="454"/>
        <w:jc w:val="both"/>
      </w:pPr>
      <w:r>
        <w:rPr>
          <w:rFonts w:ascii="Arial" w:hAnsi="Arial" w:eastAsia="Arial"/>
          <w:b w:val="0"/>
          <w:sz w:val="21"/>
        </w:rPr>
        <w:t>Regarding the World Bank's data on domestic general government health expenditure as a percentage of GDP for the USA, the values were as follows:</w:t>
      </w:r>
    </w:p>
    <w:p>
      <w:pPr>
        <w:ind w:left="454"/>
        <w:jc w:val="both"/>
      </w:pPr>
      <w:r>
        <w:rPr>
          <w:rFonts w:ascii="Arial" w:hAnsi="Arial" w:eastAsia="Arial"/>
          <w:b w:val="0"/>
          <w:sz w:val="21"/>
        </w:rPr>
        <w:t>- 2021: 9.62%</w:t>
      </w:r>
    </w:p>
    <w:p>
      <w:pPr>
        <w:ind w:left="454"/>
        <w:jc w:val="both"/>
      </w:pPr>
      <w:r>
        <w:rPr>
          <w:rFonts w:ascii="Arial" w:hAnsi="Arial" w:eastAsia="Arial"/>
          <w:b w:val="0"/>
          <w:sz w:val="21"/>
        </w:rPr>
        <w:t>- 2022: 9.12%</w:t>
      </w:r>
    </w:p>
    <w:p>
      <w:pPr>
        <w:ind w:left="454"/>
        <w:jc w:val="both"/>
      </w:pPr>
      <w:r>
        <w:rPr>
          <w:rFonts w:ascii="Arial" w:hAnsi="Arial" w:eastAsia="Arial"/>
          <w:b w:val="0"/>
          <w:sz w:val="21"/>
        </w:rPr>
        <w:t>- 2023: 9.01%</w:t>
      </w:r>
    </w:p>
    <w:p>
      <w:pPr>
        <w:ind w:left="454"/>
        <w:jc w:val="both"/>
      </w:pPr>
    </w:p>
    <w:p>
      <w:pPr>
        <w:ind w:left="454"/>
        <w:jc w:val="both"/>
      </w:pPr>
      <w:r>
        <w:rPr>
          <w:rFonts w:ascii="Arial" w:hAnsi="Arial" w:eastAsia="Arial"/>
          <w:b w:val="0"/>
          <w:sz w:val="21"/>
        </w:rPr>
        <w:t>For the OECD's data on health expenditure as a percentage of GDP for the USA, the values were:</w:t>
      </w:r>
    </w:p>
    <w:p>
      <w:pPr>
        <w:ind w:left="454"/>
        <w:jc w:val="both"/>
      </w:pPr>
      <w:r>
        <w:rPr>
          <w:rFonts w:ascii="Arial" w:hAnsi="Arial" w:eastAsia="Arial"/>
          <w:b w:val="0"/>
          <w:sz w:val="21"/>
        </w:rPr>
        <w:t>- 2021: 17.53%</w:t>
      </w:r>
    </w:p>
    <w:p>
      <w:pPr>
        <w:ind w:left="454"/>
        <w:jc w:val="both"/>
      </w:pPr>
      <w:r>
        <w:rPr>
          <w:rFonts w:ascii="Arial" w:hAnsi="Arial" w:eastAsia="Arial"/>
          <w:b w:val="0"/>
          <w:sz w:val="21"/>
        </w:rPr>
        <w:t>- 2022: 16.74%</w:t>
      </w:r>
    </w:p>
    <w:p>
      <w:pPr>
        <w:ind w:left="454"/>
        <w:jc w:val="both"/>
      </w:pPr>
      <w:r>
        <w:rPr>
          <w:rFonts w:ascii="Arial" w:hAnsi="Arial" w:eastAsia="Arial"/>
          <w:b w:val="0"/>
          <w:sz w:val="21"/>
        </w:rPr>
        <w:t>- 2023: 16.87%</w:t>
      </w:r>
    </w:p>
    <w:p>
      <w:pPr>
        <w:ind w:left="454"/>
        <w:jc w:val="both"/>
      </w:pPr>
    </w:p>
    <w:p>
      <w:pPr>
        <w:ind w:left="454"/>
        <w:jc w:val="both"/>
      </w:pPr>
      <w:r>
        <w:rPr>
          <w:rFonts w:ascii="Arial" w:hAnsi="Arial" w:eastAsia="Arial"/>
          <w:b w:val="0"/>
          <w:sz w:val="21"/>
        </w:rPr>
        <w:t>These figures show a slight decrease in both the World Bank and OECD indicators over the period, with the World Bank's percentage decreasing more consistently each year, while the OECD's percentage showed a slight increase from 2022 to 2023.</w:t>
      </w:r>
    </w:p>
    <w:p>
      <w:pPr>
        <w:jc w:val="center"/>
      </w:pPr>
      <w:r>
        <w:t>____________________________________________________________</w:t>
      </w:r>
    </w:p>
    <w:p>
      <w:pPr>
        <w:keepNext/>
        <w:spacing w:before="240"/>
        <w:jc w:val="left"/>
      </w:pPr>
      <w:r>
        <w:rPr>
          <w:rFonts w:ascii="Arial" w:hAnsi="Arial" w:eastAsia="Arial"/>
          <w:b/>
          <w:color w:val="1B4F72"/>
          <w:sz w:val="26"/>
        </w:rPr>
        <w:t>R03</w:t>
      </w:r>
    </w:p>
    <w:p>
      <w:pPr>
        <w:spacing w:after="120"/>
        <w:jc w:val="both"/>
      </w:pPr>
      <w:r>
        <w:rPr>
          <w:rFonts w:ascii="Arial" w:hAnsi="Arial" w:eastAsia="Arial"/>
          <w:b/>
          <w:sz w:val="22"/>
        </w:rPr>
        <w:t>Pregunta:</w:t>
      </w:r>
      <w:r>
        <w:rPr>
          <w:rFonts w:ascii="Arial" w:hAnsi="Arial" w:eastAsia="Arial"/>
          <w:b w:val="0"/>
          <w:sz w:val="22"/>
        </w:rPr>
        <w:t xml:space="preserve"> What was the main problem reported by users of the application during 2020–2022, and how does it relate to the trend in Costa Rica's out-of-pocket health expenditure as a share of current health expenditure over the same period?</w:t>
      </w:r>
    </w:p>
    <w:p>
      <w:pPr>
        <w:spacing w:after="120"/>
        <w:jc w:val="both"/>
      </w:pPr>
      <w:r>
        <w:rPr>
          <w:rFonts w:ascii="Arial" w:hAnsi="Arial" w:eastAsia="Arial"/>
          <w:b/>
          <w:sz w:val="22"/>
        </w:rPr>
        <w:t>Llamadas a herramientas (en el orden emitido):</w:t>
      </w:r>
    </w:p>
    <w:p>
      <w:pPr>
        <w:ind w:left="454" w:hanging="283"/>
        <w:jc w:val="left"/>
      </w:pPr>
      <w:r>
        <w:rPr>
          <w:rFonts w:ascii="Arial" w:hAnsi="Arial" w:eastAsia="Arial"/>
          <w:b w:val="0"/>
          <w:sz w:val="22"/>
        </w:rPr>
        <w:t xml:space="preserve">1. </w:t>
      </w:r>
      <w:r>
        <w:rPr>
          <w:rFonts w:ascii="Consolas" w:hAnsi="Consolas" w:eastAsia="Consolas"/>
          <w:sz w:val="18"/>
        </w:rPr>
        <w:t>query_local_reviews</w:t>
      </w:r>
      <w:r>
        <w:rPr>
          <w:rFonts w:ascii="Arial" w:hAnsi="Arial" w:eastAsia="Arial"/>
          <w:b w:val="0"/>
          <w:sz w:val="22"/>
        </w:rPr>
        <w:t xml:space="preserve"> — argumentos: </w:t>
      </w:r>
      <w:r>
        <w:rPr>
          <w:rFonts w:ascii="Consolas" w:hAnsi="Consolas" w:eastAsia="Consolas"/>
          <w:sz w:val="18"/>
        </w:rPr>
        <w:t>{"end_date": "2022-12-31", "start_date": "2020-01-01"}</w:t>
      </w:r>
    </w:p>
    <w:p>
      <w:pPr>
        <w:spacing w:after="120"/>
        <w:jc w:val="both"/>
      </w:pPr>
      <w:r>
        <w:rPr>
          <w:rFonts w:ascii="Arial" w:hAnsi="Arial" w:eastAsia="Arial"/>
          <w:b w:val="0"/>
          <w:sz w:val="22"/>
        </w:rPr>
        <w:t>Resultado: OK</w:t>
      </w:r>
    </w:p>
    <w:p>
      <w:pPr>
        <w:ind w:left="454"/>
        <w:jc w:val="left"/>
      </w:pPr>
      <w:r>
        <w:rPr>
          <w:rFonts w:ascii="Consolas" w:hAnsi="Consolas" w:eastAsia="Consolas"/>
          <w:sz w:val="18"/>
        </w:rPr>
        <w:t>{"source": "local_reviews", "date_range": {"start": "2020-01-01", "end": "2022-12-31"}, "total_reviews": 25190, "valid_reviews_for_analysis": 25190, "sentiment_distribution": {"NEG": 3930, "POS": 19657, "NEU": 1603}, "top_negative_keywords": [["citas", 1641], ["nunca", 1505], ["cita", 1196], ["sacar", 1181], ["mala", 395], ["sirve", 380], ["puede", 372], ["nada", 333], ["disponibles", 315], ["uno", 265], ["puedo", 256], ["dice", 234], ["información", 219], ["solo", 207], ["ebais", 207]], "sample_negative_reviews": ["La contraseña hay que cambiarla cada vez que uno ingresa.... Terrible.", "Muy mala solo he podido sacar como dos citas tal vez una estrella por que no se puede dar menos", "Nunca he podido utilizarla no me deja sacar una cita", "Tengo un mes de tratar sacar cita y hace todo el proceso y sl final al confirmar la cita aparece un error he tratado de conseguir ayuda 3 veces con el 905 pero nunca me han podido resolver ni orientar para poder hscerlo", "Tengo más de un mes de que no corre bien la app. Otros compañeros si pueden ver la información de su pensión y yo no puedo. Todo lo demás bien, pero en el tema de pensión FATAL 😡"], "negative_review_count": 3930, "topic_coverage": {"with_topic_assignment": 3930, "missing_topic_assignment_count": 0, "assigned_non_noise_count": 2627, "topic_noise_count": 1303, "excluded_assigned_review_count": 278, "substantive_problem_count": 2349, "substantive_coverage_pct": 59.771}, "problem_categories": [{"category": "ACCESO_CITAS", "count": 1507, "pct_of_substantive_problems": 64.155, "pct_of_negative_reviews": 38.3461}, {"category": "INFORMACION_CLINICA", "count": 300, "pct_of_substantive_problems": 12.7714, "pct_of_negative_reviews": 7.6336}, {"category": "AUTENTICACION_ACCESO", "count": 220, "pct_of_substantive_problems": 9.3657, "pct_of_negative_reviews": 5.598}, {"category": "RENDIMIENTO_APP", "count": 159, "pct_of_substantive_problems": 6.7688, "pct_of_negative_reviews": 4.0458}, {"category": "CALIDAD_ACTUALIZACION_INFO", "count": 69, "pct_of_substantive_problems": 2.9374, "pct_of_negative_reviews": 1.7557}, {"category": "INFORMACION_ADMINISTRATIVA", "count": 49, "pct_of_substantive_problems": 2.086, "pct_of_negative_reviews": 1.2468}, {"category": "REGISTRO_CUENTA", "count": 45, "pct_of_substantive_problems": 1.9157, "pct_of_negative_reviews": 1.145}], "main_problem": {"category": "ACCESO_CITAS", "count": 1507, "pct_of_substantive_problems": 64.155, "pct_of_negative_reviews": 38.3461}, "invalid_rating_count": 0, "invalid_rating_pct": 0.0}</w:t>
      </w:r>
    </w:p>
    <w:p>
      <w:pPr>
        <w:ind w:left="454" w:hanging="283"/>
        <w:jc w:val="left"/>
      </w:pPr>
      <w:r>
        <w:rPr>
          <w:rFonts w:ascii="Arial" w:hAnsi="Arial" w:eastAsia="Arial"/>
          <w:b w:val="0"/>
          <w:sz w:val="22"/>
        </w:rPr>
        <w:t xml:space="preserve">2. </w:t>
      </w:r>
      <w:r>
        <w:rPr>
          <w:rFonts w:ascii="Consolas" w:hAnsi="Consolas" w:eastAsia="Consolas"/>
          <w:sz w:val="18"/>
        </w:rPr>
        <w:t>get_worldbank_indicator</w:t>
      </w:r>
      <w:r>
        <w:rPr>
          <w:rFonts w:ascii="Arial" w:hAnsi="Arial" w:eastAsia="Arial"/>
          <w:b w:val="0"/>
          <w:sz w:val="22"/>
        </w:rPr>
        <w:t xml:space="preserve"> — argumentos: </w:t>
      </w:r>
      <w:r>
        <w:rPr>
          <w:rFonts w:ascii="Consolas" w:hAnsi="Consolas" w:eastAsia="Consolas"/>
          <w:sz w:val="18"/>
        </w:rPr>
        <w:t>{"end_year": 2022, "start_year": 2020, "country_iso3": "CRI", "indicator": "out_of_pocket_expenditure_pct_che"}</w:t>
      </w:r>
    </w:p>
    <w:p>
      <w:pPr>
        <w:spacing w:after="120"/>
        <w:jc w:val="both"/>
      </w:pPr>
      <w:r>
        <w:rPr>
          <w:rFonts w:ascii="Arial" w:hAnsi="Arial" w:eastAsia="Arial"/>
          <w:b w:val="0"/>
          <w:sz w:val="22"/>
        </w:rPr>
        <w:t>Resultado: OK</w:t>
      </w:r>
    </w:p>
    <w:p>
      <w:pPr>
        <w:ind w:left="454"/>
        <w:jc w:val="left"/>
      </w:pPr>
      <w:r>
        <w:rPr>
          <w:rFonts w:ascii="Consolas" w:hAnsi="Consolas" w:eastAsia="Consolas"/>
          <w:sz w:val="18"/>
        </w:rPr>
        <w:t>{"source": "World Bank", "indicator_code": "SH.XPD.OOPC.CH.ZS", "indicator_name": "Out-of-pocket expenditure (% of current health expenditure)", "country_iso3": "CRI", "observations": [{"year": "2020", "value": 20.28676224}, {"year": "2021", "value": 20.51704597}, {"year": "2022", "value": 22.43504333}], "query_url": "https://api.worldbank.org/v2/country/CRI/indicator/SH.XPD.OOPC.CH.ZS?format=json&amp;per_page=1000&amp;date=2020%3A2022"}</w:t>
      </w:r>
    </w:p>
    <w:p>
      <w:pPr>
        <w:spacing w:after="120"/>
        <w:jc w:val="both"/>
      </w:pPr>
      <w:r>
        <w:rPr>
          <w:rFonts w:ascii="Arial" w:hAnsi="Arial" w:eastAsia="Arial"/>
          <w:b/>
          <w:sz w:val="22"/>
        </w:rPr>
        <w:t>Respuesta final del sistema:</w:t>
      </w:r>
    </w:p>
    <w:p>
      <w:pPr>
        <w:ind w:left="454"/>
        <w:jc w:val="both"/>
      </w:pPr>
      <w:r>
        <w:rPr>
          <w:rFonts w:ascii="Arial" w:hAnsi="Arial" w:eastAsia="Arial"/>
          <w:b w:val="0"/>
          <w:sz w:val="21"/>
        </w:rPr>
        <w:t>Based on the analysis of the local user reviews and institutional data from the World Bank, here is how the main problem reported by users of the digital health application relates to Costa Rica's out-of-pocket health expenditure trend between 2020 and 2022.</w:t>
      </w:r>
    </w:p>
    <w:p>
      <w:pPr>
        <w:ind w:left="454"/>
        <w:jc w:val="both"/>
      </w:pPr>
    </w:p>
    <w:p>
      <w:pPr>
        <w:ind w:left="454"/>
        <w:jc w:val="both"/>
      </w:pPr>
      <w:r>
        <w:rPr>
          <w:rFonts w:ascii="Arial" w:hAnsi="Arial" w:eastAsia="Arial"/>
          <w:b w:val="0"/>
          <w:sz w:val="21"/>
        </w:rPr>
        <w:t>---</w:t>
      </w:r>
    </w:p>
    <w:p>
      <w:pPr>
        <w:ind w:left="454"/>
        <w:jc w:val="both"/>
      </w:pPr>
    </w:p>
    <w:p>
      <w:pPr>
        <w:ind w:left="454"/>
        <w:jc w:val="both"/>
      </w:pPr>
      <w:r>
        <w:rPr>
          <w:rFonts w:ascii="Arial" w:hAnsi="Arial" w:eastAsia="Arial"/>
          <w:b w:val="0"/>
          <w:sz w:val="21"/>
        </w:rPr>
        <w:t>### 1. Main Problem Reported by Users (2020–2022)</w:t>
      </w:r>
    </w:p>
    <w:p>
      <w:pPr>
        <w:ind w:left="454"/>
        <w:jc w:val="both"/>
      </w:pPr>
      <w:r>
        <w:rPr>
          <w:rFonts w:ascii="Arial" w:hAnsi="Arial" w:eastAsia="Arial"/>
          <w:b w:val="0"/>
          <w:sz w:val="21"/>
        </w:rPr>
        <w:t xml:space="preserve">During the 2020–2022 period, the principal problem reported by users of the application was </w:t>
      </w:r>
      <w:r>
        <w:rPr>
          <w:rFonts w:ascii="Arial" w:hAnsi="Arial" w:eastAsia="Arial"/>
          <w:b/>
          <w:sz w:val="21"/>
        </w:rPr>
        <w:t>Access to Appointments</w:t>
      </w:r>
      <w:r>
        <w:rPr>
          <w:rFonts w:ascii="Arial" w:hAnsi="Arial" w:eastAsia="Arial"/>
          <w:b w:val="0"/>
          <w:sz w:val="21"/>
        </w:rPr>
        <w:t xml:space="preserve"> (</w:t>
      </w:r>
      <w:r>
        <w:rPr>
          <w:rFonts w:ascii="Arial" w:hAnsi="Arial" w:eastAsia="Arial"/>
          <w:b/>
          <w:sz w:val="21"/>
        </w:rPr>
        <w:t>`ACCESO_CITAS`</w:t>
      </w:r>
      <w:r>
        <w:rPr>
          <w:rFonts w:ascii="Arial" w:hAnsi="Arial" w:eastAsia="Arial"/>
          <w:b w:val="0"/>
          <w:sz w:val="21"/>
        </w:rPr>
        <w:t>).</w:t>
      </w:r>
    </w:p>
    <w:p>
      <w:pPr>
        <w:ind w:left="454"/>
        <w:jc w:val="both"/>
      </w:pPr>
    </w:p>
    <w:p>
      <w:pPr>
        <w:ind w:left="454"/>
        <w:jc w:val="both"/>
      </w:pPr>
      <w:r>
        <w:rPr>
          <w:rFonts w:ascii="Arial" w:hAnsi="Arial" w:eastAsia="Arial"/>
          <w:b w:val="0"/>
          <w:sz w:val="21"/>
        </w:rPr>
        <w:t xml:space="preserve">* </w:t>
      </w:r>
      <w:r>
        <w:rPr>
          <w:rFonts w:ascii="Arial" w:hAnsi="Arial" w:eastAsia="Arial"/>
          <w:b/>
          <w:sz w:val="21"/>
        </w:rPr>
        <w:t>Volume and Impact:</w:t>
      </w:r>
      <w:r>
        <w:rPr>
          <w:rFonts w:ascii="Arial" w:hAnsi="Arial" w:eastAsia="Arial"/>
          <w:b w:val="0"/>
          <w:sz w:val="21"/>
        </w:rPr>
        <w:t xml:space="preserve"> This category was by far the most dominant source of user dissatisfaction, accounting for </w:t>
      </w:r>
      <w:r>
        <w:rPr>
          <w:rFonts w:ascii="Arial" w:hAnsi="Arial" w:eastAsia="Arial"/>
          <w:b/>
          <w:sz w:val="21"/>
        </w:rPr>
        <w:t>1,507 negative reviews</w:t>
      </w:r>
      <w:r>
        <w:rPr>
          <w:rFonts w:ascii="Arial" w:hAnsi="Arial" w:eastAsia="Arial"/>
          <w:b w:val="0"/>
          <w:sz w:val="21"/>
        </w:rPr>
        <w:t xml:space="preserve">. This represents </w:t>
      </w:r>
      <w:r>
        <w:rPr>
          <w:rFonts w:ascii="Arial" w:hAnsi="Arial" w:eastAsia="Arial"/>
          <w:b/>
          <w:sz w:val="21"/>
        </w:rPr>
        <w:t>38.35% of all negative reviews</w:t>
      </w:r>
      <w:r>
        <w:rPr>
          <w:rFonts w:ascii="Arial" w:hAnsi="Arial" w:eastAsia="Arial"/>
          <w:b w:val="0"/>
          <w:sz w:val="21"/>
        </w:rPr>
        <w:t xml:space="preserve"> and </w:t>
      </w:r>
      <w:r>
        <w:rPr>
          <w:rFonts w:ascii="Arial" w:hAnsi="Arial" w:eastAsia="Arial"/>
          <w:b/>
          <w:sz w:val="21"/>
        </w:rPr>
        <w:t>64.16% of all substantive (classified) problems</w:t>
      </w:r>
      <w:r>
        <w:rPr>
          <w:rFonts w:ascii="Arial" w:hAnsi="Arial" w:eastAsia="Arial"/>
          <w:b w:val="0"/>
          <w:sz w:val="21"/>
        </w:rPr>
        <w:t xml:space="preserve"> during this period.</w:t>
      </w:r>
    </w:p>
    <w:p>
      <w:pPr>
        <w:ind w:left="454"/>
        <w:jc w:val="both"/>
      </w:pPr>
      <w:r>
        <w:rPr>
          <w:rFonts w:ascii="Arial" w:hAnsi="Arial" w:eastAsia="Arial"/>
          <w:b w:val="0"/>
          <w:sz w:val="21"/>
        </w:rPr>
        <w:t xml:space="preserve">* </w:t>
      </w:r>
      <w:r>
        <w:rPr>
          <w:rFonts w:ascii="Arial" w:hAnsi="Arial" w:eastAsia="Arial"/>
          <w:b/>
          <w:sz w:val="21"/>
        </w:rPr>
        <w:t>User Experience:</w:t>
      </w:r>
      <w:r>
        <w:rPr>
          <w:rFonts w:ascii="Arial" w:hAnsi="Arial" w:eastAsia="Arial"/>
          <w:b w:val="0"/>
          <w:sz w:val="21"/>
        </w:rPr>
        <w:t xml:space="preserve"> Reviewers frequently complained about the impossibility of securing medical appointments, system errors at the final confirmation step, and a lack of available slots at their local primary care clinics (*Ebais*). This is heavily reflected in the top negative keywords, which include *"citas"* (appointments), *"sacar"* (to get/book), *"disponibles"* (available), and *"ebais"*.</w:t>
      </w:r>
    </w:p>
    <w:p>
      <w:pPr>
        <w:ind w:left="454"/>
        <w:jc w:val="both"/>
      </w:pPr>
    </w:p>
    <w:p>
      <w:pPr>
        <w:ind w:left="454"/>
        <w:jc w:val="both"/>
      </w:pPr>
      <w:r>
        <w:rPr>
          <w:rFonts w:ascii="Arial" w:hAnsi="Arial" w:eastAsia="Arial"/>
          <w:b w:val="0"/>
          <w:sz w:val="21"/>
        </w:rPr>
        <w:t>---</w:t>
      </w:r>
    </w:p>
    <w:p>
      <w:pPr>
        <w:ind w:left="454"/>
        <w:jc w:val="both"/>
      </w:pPr>
    </w:p>
    <w:p>
      <w:pPr>
        <w:ind w:left="454"/>
        <w:jc w:val="both"/>
      </w:pPr>
      <w:r>
        <w:rPr>
          <w:rFonts w:ascii="Arial" w:hAnsi="Arial" w:eastAsia="Arial"/>
          <w:b w:val="0"/>
          <w:sz w:val="21"/>
        </w:rPr>
        <w:t>### 2. Costa Rica's Out-of-Pocket Health Expenditure Trend (2020–2022)</w:t>
      </w:r>
    </w:p>
    <w:p>
      <w:pPr>
        <w:ind w:left="454"/>
        <w:jc w:val="both"/>
      </w:pPr>
      <w:r>
        <w:rPr>
          <w:rFonts w:ascii="Arial" w:hAnsi="Arial" w:eastAsia="Arial"/>
          <w:b w:val="0"/>
          <w:sz w:val="21"/>
        </w:rPr>
        <w:t xml:space="preserve">According to World Bank data, Costa Rica's out-of-pocket (OOP) health expenditure as a percentage of current health expenditure (CHE) showed a </w:t>
      </w:r>
      <w:r>
        <w:rPr>
          <w:rFonts w:ascii="Arial" w:hAnsi="Arial" w:eastAsia="Arial"/>
          <w:b/>
          <w:sz w:val="21"/>
        </w:rPr>
        <w:t>steady upward trend</w:t>
      </w:r>
      <w:r>
        <w:rPr>
          <w:rFonts w:ascii="Arial" w:hAnsi="Arial" w:eastAsia="Arial"/>
          <w:b w:val="0"/>
          <w:sz w:val="21"/>
        </w:rPr>
        <w:t xml:space="preserve"> over the same period:</w:t>
      </w:r>
    </w:p>
    <w:p>
      <w:pPr>
        <w:ind w:left="454"/>
        <w:jc w:val="both"/>
      </w:pPr>
    </w:p>
    <w:p>
      <w:pPr>
        <w:ind w:left="454"/>
        <w:jc w:val="both"/>
      </w:pPr>
      <w:r>
        <w:rPr>
          <w:rFonts w:ascii="Arial" w:hAnsi="Arial" w:eastAsia="Arial"/>
          <w:b w:val="0"/>
          <w:sz w:val="21"/>
        </w:rPr>
        <w:t xml:space="preserve">* </w:t>
      </w:r>
      <w:r>
        <w:rPr>
          <w:rFonts w:ascii="Arial" w:hAnsi="Arial" w:eastAsia="Arial"/>
          <w:b/>
          <w:sz w:val="21"/>
        </w:rPr>
        <w:t>2020:</w:t>
      </w:r>
      <w:r>
        <w:rPr>
          <w:rFonts w:ascii="Arial" w:hAnsi="Arial" w:eastAsia="Arial"/>
          <w:b w:val="0"/>
          <w:sz w:val="21"/>
        </w:rPr>
        <w:t xml:space="preserve"> 20.29%</w:t>
      </w:r>
    </w:p>
    <w:p>
      <w:pPr>
        <w:ind w:left="454"/>
        <w:jc w:val="both"/>
      </w:pPr>
      <w:r>
        <w:rPr>
          <w:rFonts w:ascii="Arial" w:hAnsi="Arial" w:eastAsia="Arial"/>
          <w:b w:val="0"/>
          <w:sz w:val="21"/>
        </w:rPr>
        <w:t xml:space="preserve">* </w:t>
      </w:r>
      <w:r>
        <w:rPr>
          <w:rFonts w:ascii="Arial" w:hAnsi="Arial" w:eastAsia="Arial"/>
          <w:b/>
          <w:sz w:val="21"/>
        </w:rPr>
        <w:t>2021:</w:t>
      </w:r>
      <w:r>
        <w:rPr>
          <w:rFonts w:ascii="Arial" w:hAnsi="Arial" w:eastAsia="Arial"/>
          <w:b w:val="0"/>
          <w:sz w:val="21"/>
        </w:rPr>
        <w:t xml:space="preserve"> 20.52%</w:t>
      </w:r>
    </w:p>
    <w:p>
      <w:pPr>
        <w:ind w:left="454"/>
        <w:jc w:val="both"/>
      </w:pPr>
      <w:r>
        <w:rPr>
          <w:rFonts w:ascii="Arial" w:hAnsi="Arial" w:eastAsia="Arial"/>
          <w:b w:val="0"/>
          <w:sz w:val="21"/>
        </w:rPr>
        <w:t xml:space="preserve">* </w:t>
      </w:r>
      <w:r>
        <w:rPr>
          <w:rFonts w:ascii="Arial" w:hAnsi="Arial" w:eastAsia="Arial"/>
          <w:b/>
          <w:sz w:val="21"/>
        </w:rPr>
        <w:t>2022:</w:t>
      </w:r>
      <w:r>
        <w:rPr>
          <w:rFonts w:ascii="Arial" w:hAnsi="Arial" w:eastAsia="Arial"/>
          <w:b w:val="0"/>
          <w:sz w:val="21"/>
        </w:rPr>
        <w:t xml:space="preserve"> 22.44%</w:t>
      </w:r>
    </w:p>
    <w:p>
      <w:pPr>
        <w:ind w:left="454"/>
        <w:jc w:val="both"/>
      </w:pPr>
    </w:p>
    <w:p>
      <w:pPr>
        <w:ind w:left="454"/>
        <w:jc w:val="both"/>
      </w:pPr>
      <w:r>
        <w:rPr>
          <w:rFonts w:ascii="Arial" w:hAnsi="Arial" w:eastAsia="Arial"/>
          <w:b w:val="0"/>
          <w:sz w:val="21"/>
        </w:rPr>
        <w:t xml:space="preserve">This represents an overall increase of </w:t>
      </w:r>
      <w:r>
        <w:rPr>
          <w:rFonts w:ascii="Arial" w:hAnsi="Arial" w:eastAsia="Arial"/>
          <w:b/>
          <w:sz w:val="21"/>
        </w:rPr>
        <w:t>2.15 percentage points</w:t>
      </w:r>
      <w:r>
        <w:rPr>
          <w:rFonts w:ascii="Arial" w:hAnsi="Arial" w:eastAsia="Arial"/>
          <w:b w:val="0"/>
          <w:sz w:val="21"/>
        </w:rPr>
        <w:t xml:space="preserve"> in the share of healthcare costs paid directly by citizens out of their own pockets.</w:t>
      </w:r>
    </w:p>
    <w:p>
      <w:pPr>
        <w:ind w:left="454"/>
        <w:jc w:val="both"/>
      </w:pPr>
    </w:p>
    <w:p>
      <w:pPr>
        <w:ind w:left="454"/>
        <w:jc w:val="both"/>
      </w:pPr>
      <w:r>
        <w:rPr>
          <w:rFonts w:ascii="Arial" w:hAnsi="Arial" w:eastAsia="Arial"/>
          <w:b w:val="0"/>
          <w:sz w:val="21"/>
        </w:rPr>
        <w:t>---</w:t>
      </w:r>
    </w:p>
    <w:p>
      <w:pPr>
        <w:ind w:left="454"/>
        <w:jc w:val="both"/>
      </w:pPr>
    </w:p>
    <w:p>
      <w:pPr>
        <w:ind w:left="454"/>
        <w:jc w:val="both"/>
      </w:pPr>
      <w:r>
        <w:rPr>
          <w:rFonts w:ascii="Arial" w:hAnsi="Arial" w:eastAsia="Arial"/>
          <w:b w:val="0"/>
          <w:sz w:val="21"/>
        </w:rPr>
        <w:t>### 3. How They Relate</w:t>
      </w:r>
    </w:p>
    <w:p>
      <w:pPr>
        <w:ind w:left="454"/>
        <w:jc w:val="both"/>
      </w:pPr>
      <w:r>
        <w:rPr>
          <w:rFonts w:ascii="Arial" w:hAnsi="Arial" w:eastAsia="Arial"/>
          <w:b w:val="0"/>
          <w:sz w:val="21"/>
        </w:rPr>
        <w:t>The barrier to booking appointments through the digital application directly correlates with—and likely exacerbated—the rising trend in out-of-pocket health expenditures:</w:t>
      </w:r>
    </w:p>
    <w:p>
      <w:pPr>
        <w:ind w:left="454"/>
        <w:jc w:val="both"/>
      </w:pPr>
    </w:p>
    <w:p>
      <w:pPr>
        <w:ind w:left="454"/>
        <w:jc w:val="both"/>
      </w:pPr>
      <w:r>
        <w:rPr>
          <w:rFonts w:ascii="Arial" w:hAnsi="Arial" w:eastAsia="Arial"/>
          <w:b w:val="0"/>
          <w:sz w:val="21"/>
        </w:rPr>
        <w:t xml:space="preserve">1. </w:t>
      </w:r>
      <w:r>
        <w:rPr>
          <w:rFonts w:ascii="Arial" w:hAnsi="Arial" w:eastAsia="Arial"/>
          <w:b/>
          <w:sz w:val="21"/>
        </w:rPr>
        <w:t>Barriers to Public Healthcare Access:</w:t>
      </w:r>
      <w:r>
        <w:rPr>
          <w:rFonts w:ascii="Arial" w:hAnsi="Arial" w:eastAsia="Arial"/>
          <w:b w:val="0"/>
          <w:sz w:val="21"/>
        </w:rPr>
        <w:t xml:space="preserve"> The digital application is a primary gateway for citizens to access public primary care services (*Ebais*) under Costa Rica's social security system (CCSS). When the app fails to provide access to appointments (</w:t>
      </w:r>
      <w:r>
        <w:rPr>
          <w:rFonts w:ascii="Consolas" w:hAnsi="Consolas" w:eastAsia="Consolas"/>
          <w:sz w:val="17"/>
        </w:rPr>
        <w:t>ACCESO_CITAS</w:t>
      </w:r>
      <w:r>
        <w:rPr>
          <w:rFonts w:ascii="Arial" w:hAnsi="Arial" w:eastAsia="Arial"/>
          <w:b w:val="0"/>
          <w:sz w:val="21"/>
        </w:rPr>
        <w:t>), it creates a severe bottleneck in public healthcare delivery.</w:t>
      </w:r>
    </w:p>
    <w:p>
      <w:pPr>
        <w:ind w:left="454"/>
        <w:jc w:val="both"/>
      </w:pPr>
      <w:r>
        <w:rPr>
          <w:rFonts w:ascii="Arial" w:hAnsi="Arial" w:eastAsia="Arial"/>
          <w:b w:val="0"/>
          <w:sz w:val="21"/>
        </w:rPr>
        <w:t xml:space="preserve">2. </w:t>
      </w:r>
      <w:r>
        <w:rPr>
          <w:rFonts w:ascii="Arial" w:hAnsi="Arial" w:eastAsia="Arial"/>
          <w:b/>
          <w:sz w:val="21"/>
        </w:rPr>
        <w:t>Forced Shift to Private Care:</w:t>
      </w:r>
      <w:r>
        <w:rPr>
          <w:rFonts w:ascii="Arial" w:hAnsi="Arial" w:eastAsia="Arial"/>
          <w:b w:val="0"/>
          <w:sz w:val="21"/>
        </w:rPr>
        <w:t xml:space="preserve"> When patients cannot secure timely appointments for consultations, preventive care, or chronic disease management through the public system, they are often forced to bypass the public system entirely.</w:t>
      </w:r>
    </w:p>
    <w:p>
      <w:pPr>
        <w:ind w:left="454"/>
        <w:jc w:val="both"/>
      </w:pPr>
      <w:r>
        <w:rPr>
          <w:rFonts w:ascii="Arial" w:hAnsi="Arial" w:eastAsia="Arial"/>
          <w:b w:val="0"/>
          <w:sz w:val="21"/>
        </w:rPr>
        <w:t xml:space="preserve">3. </w:t>
      </w:r>
      <w:r>
        <w:rPr>
          <w:rFonts w:ascii="Arial" w:hAnsi="Arial" w:eastAsia="Arial"/>
          <w:b/>
          <w:sz w:val="21"/>
        </w:rPr>
        <w:t>Increased Out-of-Pocket Spending:</w:t>
      </w:r>
      <w:r>
        <w:rPr>
          <w:rFonts w:ascii="Arial" w:hAnsi="Arial" w:eastAsia="Arial"/>
          <w:b w:val="0"/>
          <w:sz w:val="21"/>
        </w:rPr>
        <w:t xml:space="preserve"> To address their immediate health needs, citizens must resort to private clinics, private consultations, and purchasing medications directly from commercial pharmacies. This shift from public, tax-funded/insured services to private alternatives directly drives up the country's out-of-pocket health expenditure.</w:t>
      </w:r>
    </w:p>
    <w:p>
      <w:pPr>
        <w:ind w:left="454"/>
        <w:jc w:val="both"/>
      </w:pPr>
    </w:p>
    <w:p>
      <w:pPr>
        <w:ind w:left="454"/>
        <w:jc w:val="both"/>
      </w:pPr>
      <w:r>
        <w:rPr>
          <w:rFonts w:ascii="Arial" w:hAnsi="Arial" w:eastAsia="Arial"/>
          <w:b w:val="0"/>
          <w:sz w:val="21"/>
        </w:rPr>
        <w:t>In summary, the digital friction and systemic difficulty in booking appointments through the app during 2020–2022 left many users without viable public options, contributing to the growing financial burden on Costa Rican households as they turned to private healthcare.</w:t>
      </w:r>
    </w:p>
    <w:p>
      <w:pPr>
        <w:jc w:val="center"/>
      </w:pPr>
      <w:r>
        <w:t>____________________________________________________________</w:t>
      </w:r>
    </w:p>
    <w:p>
      <w:pPr>
        <w:keepNext/>
        <w:spacing w:before="240"/>
        <w:jc w:val="left"/>
      </w:pPr>
      <w:r>
        <w:rPr>
          <w:rFonts w:ascii="Arial" w:hAnsi="Arial" w:eastAsia="Arial"/>
          <w:b/>
          <w:color w:val="1B4F72"/>
          <w:sz w:val="26"/>
        </w:rPr>
        <w:t>R04</w:t>
      </w:r>
    </w:p>
    <w:p>
      <w:pPr>
        <w:spacing w:after="120"/>
        <w:jc w:val="both"/>
      </w:pPr>
      <w:r>
        <w:rPr>
          <w:rFonts w:ascii="Arial" w:hAnsi="Arial" w:eastAsia="Arial"/>
          <w:b/>
          <w:sz w:val="22"/>
        </w:rPr>
        <w:t>Pregunta:</w:t>
      </w:r>
      <w:r>
        <w:rPr>
          <w:rFonts w:ascii="Arial" w:hAnsi="Arial" w:eastAsia="Arial"/>
          <w:b w:val="0"/>
          <w:sz w:val="22"/>
        </w:rPr>
        <w:t xml:space="preserve"> What was the most frequent word (or words, if there is a tie) among negative application reviews during 2018–2020, how frequent was it relative to all negative reviews in that period, and what was the World Bank trend in Costa Rica's domestic general government health expenditure as a percentage of GDP over the same period?</w:t>
      </w:r>
    </w:p>
    <w:p>
      <w:pPr>
        <w:spacing w:after="120"/>
        <w:jc w:val="both"/>
      </w:pPr>
      <w:r>
        <w:rPr>
          <w:rFonts w:ascii="Arial" w:hAnsi="Arial" w:eastAsia="Arial"/>
          <w:b/>
          <w:sz w:val="22"/>
        </w:rPr>
        <w:t>Llamadas a herramientas (en el orden emitido):</w:t>
      </w:r>
    </w:p>
    <w:p>
      <w:pPr>
        <w:ind w:left="454" w:hanging="283"/>
        <w:jc w:val="left"/>
      </w:pPr>
      <w:r>
        <w:rPr>
          <w:rFonts w:ascii="Arial" w:hAnsi="Arial" w:eastAsia="Arial"/>
          <w:b w:val="0"/>
          <w:sz w:val="22"/>
        </w:rPr>
        <w:t xml:space="preserve">1. </w:t>
      </w:r>
      <w:r>
        <w:rPr>
          <w:rFonts w:ascii="Consolas" w:hAnsi="Consolas" w:eastAsia="Consolas"/>
          <w:sz w:val="18"/>
        </w:rPr>
        <w:t>query_local_reviews</w:t>
      </w:r>
      <w:r>
        <w:rPr>
          <w:rFonts w:ascii="Arial" w:hAnsi="Arial" w:eastAsia="Arial"/>
          <w:b w:val="0"/>
          <w:sz w:val="22"/>
        </w:rPr>
        <w:t xml:space="preserve"> — argumentos: </w:t>
      </w:r>
      <w:r>
        <w:rPr>
          <w:rFonts w:ascii="Consolas" w:hAnsi="Consolas" w:eastAsia="Consolas"/>
          <w:sz w:val="18"/>
        </w:rPr>
        <w:t>{"start_date": "2018-01-01", "end_date": "2020-12-31"}</w:t>
      </w:r>
    </w:p>
    <w:p>
      <w:pPr>
        <w:spacing w:after="120"/>
        <w:jc w:val="both"/>
      </w:pPr>
      <w:r>
        <w:rPr>
          <w:rFonts w:ascii="Arial" w:hAnsi="Arial" w:eastAsia="Arial"/>
          <w:b w:val="0"/>
          <w:sz w:val="22"/>
        </w:rPr>
        <w:t>Resultado: OK</w:t>
      </w:r>
    </w:p>
    <w:p>
      <w:pPr>
        <w:ind w:left="454"/>
        <w:jc w:val="left"/>
      </w:pPr>
      <w:r>
        <w:rPr>
          <w:rFonts w:ascii="Consolas" w:hAnsi="Consolas" w:eastAsia="Consolas"/>
          <w:sz w:val="18"/>
        </w:rPr>
        <w:t>{"source": "local_reviews", "date_range": {"start": "2018-01-01", "end": "2020-12-31"}, "total_reviews": 16486, "valid_reviews_for_analysis": 16486, "sentiment_distribution": {"POS": 12240, "NEU": 1133, "NEG": 3113}, "top_negative_keywords": [["nunca", 1363], ["citas", 1336], ["cita", 1037], ["sacar", 974], ["mala", 298], ["disponibles", 290], ["sirve", 286], ["puede", 286], ["puedo", 274], ["nada", 261], ["ebais", 189], ["siempre", 184], ["dice", 184], ["uno", 181], ["tengo", 170]], "sample_negative_reviews": ["No puedo sacar una cita ¿cómo esperan que obtenga una cita médica en el mismo día que voy a sacarla? No me dan otros días para sacar una cita, deben arreglar el problema, ni la página sirve ambas cosas son muy malas.", "Los resultados no aparecen actualizados", "No me han llamado aun siendo alto riezgo, me dan menos medicamentos, eso me hace trastorno y citas virtuales ineficientes", "Nunca se puede sacar citas", "Pésimo"], "negative_review_count": 3113, "topic_coverage": {"with_topic_assignment": 3113, "missing_topic_assignment_count": 0, "assigned_non_noise_count": 2070, "topic_noise_count": 1043, "excluded_assigned_review_count": 210, "substantive_problem_count": 1860, "substantive_coverage_pct": 59.7494}, "problem_categories": [{"category": "ACCESO_CITAS", "count": 1303, "pct_of_substantive_problems": 70.0538, "pct_of_negative_reviews": 41.8567}, {"category": "INFORMACION_CLINICA", "count": 183, "pct_of_substantive_problems": 9.8387, "pct_of_negative_reviews": 5.8786}, {"category": "AUTENTICACION_ACCESO", "count": 158, "pct_of_substantive_problems": 8.4946, "pct_of_negative_reviews": 5.0755}, {"category": "RENDIMIENTO_APP", "count": 110, "pct_of_substantive_problems": 5.914, "pct_of_negative_reviews": 3.5336}, {"category": "REGISTRO_CUENTA", "count": 65, "pct_of_substantive_problems": 3.4946, "pct_of_negative_reviews": 2.088}, {"category": "CALIDAD_ACTUALIZACION_INFO", "count": 28, "pct_of_substantive_problems": 1.5054, "pct_of_negative_reviews": 0.8995}, {"category": "INFORMACION_ADMINISTRATIVA", "count": 13, "pct_of_substantive_problems": 0.6989, "pct_of_negative_reviews": 0.4176}], "main_problem": {"category": "ACCESO_CITAS", "count": 1303, "pct_of_substantive_problems": 70.0538, "pct_of_negative_reviews": 41.8567}, "invalid_rating_count": 0, "invalid_rating_pct": 0.0}</w:t>
      </w:r>
    </w:p>
    <w:p>
      <w:pPr>
        <w:ind w:left="454" w:hanging="283"/>
        <w:jc w:val="left"/>
      </w:pPr>
      <w:r>
        <w:rPr>
          <w:rFonts w:ascii="Arial" w:hAnsi="Arial" w:eastAsia="Arial"/>
          <w:b w:val="0"/>
          <w:sz w:val="22"/>
        </w:rPr>
        <w:t xml:space="preserve">2. </w:t>
      </w:r>
      <w:r>
        <w:rPr>
          <w:rFonts w:ascii="Consolas" w:hAnsi="Consolas" w:eastAsia="Consolas"/>
          <w:sz w:val="18"/>
        </w:rPr>
        <w:t>get_worldbank_indicator</w:t>
      </w:r>
      <w:r>
        <w:rPr>
          <w:rFonts w:ascii="Arial" w:hAnsi="Arial" w:eastAsia="Arial"/>
          <w:b w:val="0"/>
          <w:sz w:val="22"/>
        </w:rPr>
        <w:t xml:space="preserve"> — argumentos: </w:t>
      </w:r>
      <w:r>
        <w:rPr>
          <w:rFonts w:ascii="Consolas" w:hAnsi="Consolas" w:eastAsia="Consolas"/>
          <w:sz w:val="18"/>
        </w:rPr>
        <w:t>{"country_iso3": "CRI", "indicator": "domestic_govt_health_expenditure_pct_gdp", "start_year": 2018, "end_year": 2020}</w:t>
      </w:r>
    </w:p>
    <w:p>
      <w:pPr>
        <w:spacing w:after="120"/>
        <w:jc w:val="both"/>
      </w:pPr>
      <w:r>
        <w:rPr>
          <w:rFonts w:ascii="Arial" w:hAnsi="Arial" w:eastAsia="Arial"/>
          <w:b w:val="0"/>
          <w:sz w:val="22"/>
        </w:rPr>
        <w:t>Resultado: OK</w:t>
      </w:r>
    </w:p>
    <w:p>
      <w:pPr>
        <w:ind w:left="454"/>
        <w:jc w:val="left"/>
      </w:pPr>
      <w:r>
        <w:rPr>
          <w:rFonts w:ascii="Consolas" w:hAnsi="Consolas" w:eastAsia="Consolas"/>
          <w:sz w:val="18"/>
        </w:rPr>
        <w:t>{"source": "World Bank", "indicator_code": "SH.XPD.GHED.GD.ZS", "indicator_name": "Domestic general government health expenditure (% of GDP)", "country_iso3": "CRI", "observations": [{"year": "2018", "value": 5.27453423}, {"year": "2019", "value": 5.23799706}, {"year": "2020", "value": 5.61917973}], "query_url": "https://api.worldbank.org/v2/country/CRI/indicator/SH.XPD.GHED.GD.ZS?format=json&amp;per_page=1000&amp;date=2018%3A2020"}</w:t>
      </w:r>
    </w:p>
    <w:p>
      <w:pPr>
        <w:spacing w:after="120"/>
        <w:jc w:val="both"/>
      </w:pPr>
      <w:r>
        <w:rPr>
          <w:rFonts w:ascii="Arial" w:hAnsi="Arial" w:eastAsia="Arial"/>
          <w:b/>
          <w:sz w:val="22"/>
        </w:rPr>
        <w:t>Respuesta final del sistema:</w:t>
      </w:r>
    </w:p>
    <w:p>
      <w:pPr>
        <w:ind w:left="454"/>
        <w:jc w:val="both"/>
      </w:pPr>
      <w:r>
        <w:rPr>
          <w:rFonts w:ascii="Arial" w:hAnsi="Arial" w:eastAsia="Arial"/>
          <w:b w:val="0"/>
          <w:sz w:val="21"/>
        </w:rPr>
        <w:t>During the period from 2018 to 2020, the most frequent word among negative reviews of the digital health application was "nunca," appearing 1,363 times. This word was present in approximately 43.78% of all negative reviews during that period (1,363 occurrences out of 3,113 negative reviews).</w:t>
      </w:r>
    </w:p>
    <w:p>
      <w:pPr>
        <w:ind w:left="454"/>
        <w:jc w:val="both"/>
      </w:pPr>
    </w:p>
    <w:p>
      <w:pPr>
        <w:ind w:left="454"/>
        <w:jc w:val="both"/>
      </w:pPr>
      <w:r>
        <w:rPr>
          <w:rFonts w:ascii="Arial" w:hAnsi="Arial" w:eastAsia="Arial"/>
          <w:b w:val="0"/>
          <w:sz w:val="21"/>
        </w:rPr>
        <w:t>Regarding Costa Rica's domestic general government health expenditure as a percentage of GDP, the World Bank data shows the following trend over the same period:</w:t>
      </w:r>
    </w:p>
    <w:p>
      <w:pPr>
        <w:ind w:left="454"/>
        <w:jc w:val="both"/>
      </w:pPr>
      <w:r>
        <w:rPr>
          <w:rFonts w:ascii="Arial" w:hAnsi="Arial" w:eastAsia="Arial"/>
          <w:b w:val="0"/>
          <w:sz w:val="21"/>
        </w:rPr>
        <w:t>- In 2018, it was 5.27%.</w:t>
      </w:r>
    </w:p>
    <w:p>
      <w:pPr>
        <w:ind w:left="454"/>
        <w:jc w:val="both"/>
      </w:pPr>
      <w:r>
        <w:rPr>
          <w:rFonts w:ascii="Arial" w:hAnsi="Arial" w:eastAsia="Arial"/>
          <w:b w:val="0"/>
          <w:sz w:val="21"/>
        </w:rPr>
        <w:t>- In 2019, it slightly decreased to 5.24%.</w:t>
      </w:r>
    </w:p>
    <w:p>
      <w:pPr>
        <w:ind w:left="454"/>
        <w:jc w:val="both"/>
      </w:pPr>
      <w:r>
        <w:rPr>
          <w:rFonts w:ascii="Arial" w:hAnsi="Arial" w:eastAsia="Arial"/>
          <w:b w:val="0"/>
          <w:sz w:val="21"/>
        </w:rPr>
        <w:t>- In 2020, it increased to 5.62%.</w:t>
      </w:r>
    </w:p>
    <w:p>
      <w:pPr>
        <w:jc w:val="center"/>
      </w:pPr>
      <w:r>
        <w:t>____________________________________________________________</w:t>
      </w:r>
    </w:p>
    <w:p>
      <w:pPr>
        <w:keepNext/>
        <w:spacing w:before="240"/>
        <w:jc w:val="left"/>
      </w:pPr>
      <w:r>
        <w:rPr>
          <w:rFonts w:ascii="Arial" w:hAnsi="Arial" w:eastAsia="Arial"/>
          <w:b/>
          <w:color w:val="1B4F72"/>
          <w:sz w:val="26"/>
        </w:rPr>
        <w:t>R05</w:t>
      </w:r>
    </w:p>
    <w:p>
      <w:pPr>
        <w:spacing w:after="120"/>
        <w:jc w:val="both"/>
      </w:pPr>
      <w:r>
        <w:rPr>
          <w:rFonts w:ascii="Arial" w:hAnsi="Arial" w:eastAsia="Arial"/>
          <w:b/>
          <w:sz w:val="22"/>
        </w:rPr>
        <w:t>Pregunta:</w:t>
      </w:r>
      <w:r>
        <w:rPr>
          <w:rFonts w:ascii="Arial" w:hAnsi="Arial" w:eastAsia="Arial"/>
          <w:b w:val="0"/>
          <w:sz w:val="22"/>
        </w:rPr>
        <w:t xml:space="preserve"> What was the most frequent word (or words, if there is a tie) among negative application reviews during 2018–2020, how frequent was it relative to all negative reviews in that period, and what was the World Bank trend in Costa Rica's domestic general government health expenditure as a percentage of GDP over the same period?</w:t>
      </w:r>
    </w:p>
    <w:p>
      <w:pPr>
        <w:spacing w:after="120"/>
        <w:jc w:val="both"/>
      </w:pPr>
      <w:r>
        <w:rPr>
          <w:rFonts w:ascii="Arial" w:hAnsi="Arial" w:eastAsia="Arial"/>
          <w:b/>
          <w:sz w:val="22"/>
        </w:rPr>
        <w:t>Llamadas a herramientas (en el orden emitido):</w:t>
      </w:r>
    </w:p>
    <w:p>
      <w:pPr>
        <w:ind w:left="454" w:hanging="283"/>
        <w:jc w:val="left"/>
      </w:pPr>
      <w:r>
        <w:rPr>
          <w:rFonts w:ascii="Arial" w:hAnsi="Arial" w:eastAsia="Arial"/>
          <w:b w:val="0"/>
          <w:sz w:val="22"/>
        </w:rPr>
        <w:t xml:space="preserve">1. </w:t>
      </w:r>
      <w:r>
        <w:rPr>
          <w:rFonts w:ascii="Consolas" w:hAnsi="Consolas" w:eastAsia="Consolas"/>
          <w:sz w:val="18"/>
        </w:rPr>
        <w:t>query_local_reviews</w:t>
      </w:r>
      <w:r>
        <w:rPr>
          <w:rFonts w:ascii="Arial" w:hAnsi="Arial" w:eastAsia="Arial"/>
          <w:b w:val="0"/>
          <w:sz w:val="22"/>
        </w:rPr>
        <w:t xml:space="preserve"> — argumentos: </w:t>
      </w:r>
      <w:r>
        <w:rPr>
          <w:rFonts w:ascii="Consolas" w:hAnsi="Consolas" w:eastAsia="Consolas"/>
          <w:sz w:val="18"/>
        </w:rPr>
        <w:t>{"end_date": "2020-12-31", "start_date": "2018-01-01"}</w:t>
      </w:r>
    </w:p>
    <w:p>
      <w:pPr>
        <w:spacing w:after="120"/>
        <w:jc w:val="both"/>
      </w:pPr>
      <w:r>
        <w:rPr>
          <w:rFonts w:ascii="Arial" w:hAnsi="Arial" w:eastAsia="Arial"/>
          <w:b w:val="0"/>
          <w:sz w:val="22"/>
        </w:rPr>
        <w:t>Resultado: OK</w:t>
      </w:r>
    </w:p>
    <w:p>
      <w:pPr>
        <w:ind w:left="454"/>
        <w:jc w:val="left"/>
      </w:pPr>
      <w:r>
        <w:rPr>
          <w:rFonts w:ascii="Consolas" w:hAnsi="Consolas" w:eastAsia="Consolas"/>
          <w:sz w:val="18"/>
        </w:rPr>
        <w:t>{"source": "local_reviews", "date_range": {"start": "2018-01-01", "end": "2020-12-31"}, "total_reviews": 16486, "valid_reviews_for_analysis": 16486, "sentiment_distribution": {"POS": 12240, "NEU": 1133, "NEG": 3113}, "top_negative_keywords": [["nunca", 1363], ["citas", 1336], ["cita", 1037], ["sacar", 974], ["mala", 298], ["disponibles", 290], ["sirve", 286], ["puede", 286], ["puedo", 274], ["nada", 261], ["ebais", 189], ["siempre", 184], ["dice", 184], ["uno", 181], ["tengo", 170]], "sample_negative_reviews": ["No puedo sacar una cita ¿cómo esperan que obtenga una cita médica en el mismo día que voy a sacarla? No me dan otros días para sacar una cita, deben arreglar el problema, ni la página sirve ambas cosas son muy malas.", "Los resultados no aparecen actualizados", "No me han llamado aun siendo alto riezgo, me dan menos medicamentos, eso me hace trastorno y citas virtuales ineficientes", "Nunca se puede sacar citas", "Pésimo"], "negative_review_count": 3113, "topic_coverage": {"with_topic_assignment": 3113, "missing_topic_assignment_count": 0, "assigned_non_noise_count": 2070, "topic_noise_count": 1043, "excluded_assigned_review_count": 210, "substantive_problem_count": 1860, "substantive_coverage_pct": 59.7494}, "problem_categories": [{"category": "ACCESO_CITAS", "count": 1303, "pct_of_substantive_problems": 70.0538, "pct_of_negative_reviews": 41.8567}, {"category": "INFORMACION_CLINICA", "count": 183, "pct_of_substantive_problems": 9.8387, "pct_of_negative_reviews": 5.8786}, {"category": "AUTENTICACION_ACCESO", "count": 158, "pct_of_substantive_problems": 8.4946, "pct_of_negative_reviews": 5.0755}, {"category": "RENDIMIENTO_APP", "count": 110, "pct_of_substantive_problems": 5.914, "pct_of_negative_reviews": 3.5336}, {"category": "REGISTRO_CUENTA", "count": 65, "pct_of_substantive_problems": 3.4946, "pct_of_negative_reviews": 2.088}, {"category": "CALIDAD_ACTUALIZACION_INFO", "count": 28, "pct_of_substantive_problems": 1.5054, "pct_of_negative_reviews": 0.8995}, {"category": "INFORMACION_ADMINISTRATIVA", "count": 13, "pct_of_substantive_problems": 0.6989, "pct_of_negative_reviews": 0.4176}], "main_problem": {"category": "ACCESO_CITAS", "count": 1303, "pct_of_substantive_problems": 70.0538, "pct_of_negative_reviews": 41.8567}, "invalid_rating_count": 0, "invalid_rating_pct": 0.0}</w:t>
      </w:r>
    </w:p>
    <w:p>
      <w:pPr>
        <w:ind w:left="454" w:hanging="283"/>
        <w:jc w:val="left"/>
      </w:pPr>
      <w:r>
        <w:rPr>
          <w:rFonts w:ascii="Arial" w:hAnsi="Arial" w:eastAsia="Arial"/>
          <w:b w:val="0"/>
          <w:sz w:val="22"/>
        </w:rPr>
        <w:t xml:space="preserve">2. </w:t>
      </w:r>
      <w:r>
        <w:rPr>
          <w:rFonts w:ascii="Consolas" w:hAnsi="Consolas" w:eastAsia="Consolas"/>
          <w:sz w:val="18"/>
        </w:rPr>
        <w:t>get_worldbank_indicator</w:t>
      </w:r>
      <w:r>
        <w:rPr>
          <w:rFonts w:ascii="Arial" w:hAnsi="Arial" w:eastAsia="Arial"/>
          <w:b w:val="0"/>
          <w:sz w:val="22"/>
        </w:rPr>
        <w:t xml:space="preserve"> — argumentos: </w:t>
      </w:r>
      <w:r>
        <w:rPr>
          <w:rFonts w:ascii="Consolas" w:hAnsi="Consolas" w:eastAsia="Consolas"/>
          <w:sz w:val="18"/>
        </w:rPr>
        <w:t>{"indicator": "domestic_govt_health_expenditure_pct_gdp", "end_year": 2020, "start_year": 2018, "country_iso3": "CRI"}</w:t>
      </w:r>
    </w:p>
    <w:p>
      <w:pPr>
        <w:spacing w:after="120"/>
        <w:jc w:val="both"/>
      </w:pPr>
      <w:r>
        <w:rPr>
          <w:rFonts w:ascii="Arial" w:hAnsi="Arial" w:eastAsia="Arial"/>
          <w:b w:val="0"/>
          <w:sz w:val="22"/>
        </w:rPr>
        <w:t>Resultado: OK</w:t>
      </w:r>
    </w:p>
    <w:p>
      <w:pPr>
        <w:ind w:left="454"/>
        <w:jc w:val="left"/>
      </w:pPr>
      <w:r>
        <w:rPr>
          <w:rFonts w:ascii="Consolas" w:hAnsi="Consolas" w:eastAsia="Consolas"/>
          <w:sz w:val="18"/>
        </w:rPr>
        <w:t>{"source": "World Bank", "indicator_code": "SH.XPD.GHED.GD.ZS", "indicator_name": "Domestic general government health expenditure (% of GDP)", "country_iso3": "CRI", "observations": [{"year": "2018", "value": 5.27453423}, {"year": "2019", "value": 5.23799706}, {"year": "2020", "value": 5.61917973}], "query_url": "https://api.worldbank.org/v2/country/CRI/indicator/SH.XPD.GHED.GD.ZS?format=json&amp;per_page=1000&amp;date=2018%3A2020"}</w:t>
      </w:r>
    </w:p>
    <w:p>
      <w:pPr>
        <w:spacing w:after="120"/>
        <w:jc w:val="both"/>
      </w:pPr>
      <w:r>
        <w:rPr>
          <w:rFonts w:ascii="Arial" w:hAnsi="Arial" w:eastAsia="Arial"/>
          <w:b/>
          <w:sz w:val="22"/>
        </w:rPr>
        <w:t>Respuesta final del sistema:</w:t>
      </w:r>
    </w:p>
    <w:p>
      <w:pPr>
        <w:ind w:left="454"/>
        <w:jc w:val="both"/>
      </w:pPr>
      <w:r>
        <w:rPr>
          <w:rFonts w:ascii="Arial" w:hAnsi="Arial" w:eastAsia="Arial"/>
          <w:b w:val="0"/>
          <w:sz w:val="21"/>
        </w:rPr>
        <w:t xml:space="preserve">Based on the data retrieved from the local reviews corpus and the World Bank, here are the details for the period </w:t>
      </w:r>
      <w:r>
        <w:rPr>
          <w:rFonts w:ascii="Arial" w:hAnsi="Arial" w:eastAsia="Arial"/>
          <w:b/>
          <w:sz w:val="21"/>
        </w:rPr>
        <w:t>2018–2020</w:t>
      </w:r>
      <w:r>
        <w:rPr>
          <w:rFonts w:ascii="Arial" w:hAnsi="Arial" w:eastAsia="Arial"/>
          <w:b w:val="0"/>
          <w:sz w:val="21"/>
        </w:rPr>
        <w:t>:</w:t>
      </w:r>
    </w:p>
    <w:p>
      <w:pPr>
        <w:ind w:left="454"/>
        <w:jc w:val="both"/>
      </w:pPr>
    </w:p>
    <w:p>
      <w:pPr>
        <w:ind w:left="454"/>
        <w:jc w:val="both"/>
      </w:pPr>
      <w:r>
        <w:rPr>
          <w:rFonts w:ascii="Arial" w:hAnsi="Arial" w:eastAsia="Arial"/>
          <w:b w:val="0"/>
          <w:sz w:val="21"/>
        </w:rPr>
        <w:t>### 1. Negative Application Reviews (2018–2020)</w:t>
      </w:r>
    </w:p>
    <w:p>
      <w:pPr>
        <w:ind w:left="454"/>
        <w:jc w:val="both"/>
      </w:pPr>
      <w:r>
        <w:rPr>
          <w:rFonts w:ascii="Arial" w:hAnsi="Arial" w:eastAsia="Arial"/>
          <w:b w:val="0"/>
          <w:sz w:val="21"/>
        </w:rPr>
        <w:t xml:space="preserve">* </w:t>
      </w:r>
      <w:r>
        <w:rPr>
          <w:rFonts w:ascii="Arial" w:hAnsi="Arial" w:eastAsia="Arial"/>
          <w:b/>
          <w:sz w:val="21"/>
        </w:rPr>
        <w:t>Most Frequent Word:</w:t>
      </w:r>
      <w:r>
        <w:rPr>
          <w:rFonts w:ascii="Arial" w:hAnsi="Arial" w:eastAsia="Arial"/>
          <w:b w:val="0"/>
          <w:sz w:val="21"/>
        </w:rPr>
        <w:t xml:space="preserve"> </w:t>
      </w:r>
      <w:r>
        <w:rPr>
          <w:rFonts w:ascii="Arial" w:hAnsi="Arial" w:eastAsia="Arial"/>
          <w:b/>
          <w:sz w:val="21"/>
        </w:rPr>
        <w:t>"nunca"</w:t>
      </w:r>
      <w:r>
        <w:rPr>
          <w:rFonts w:ascii="Arial" w:hAnsi="Arial" w:eastAsia="Arial"/>
          <w:b w:val="0"/>
          <w:sz w:val="21"/>
        </w:rPr>
        <w:t xml:space="preserve"> (never) with </w:t>
      </w:r>
      <w:r>
        <w:rPr>
          <w:rFonts w:ascii="Arial" w:hAnsi="Arial" w:eastAsia="Arial"/>
          <w:b/>
          <w:sz w:val="21"/>
        </w:rPr>
        <w:t>1,363 occurrences</w:t>
      </w:r>
      <w:r>
        <w:rPr>
          <w:rFonts w:ascii="Arial" w:hAnsi="Arial" w:eastAsia="Arial"/>
          <w:b w:val="0"/>
          <w:sz w:val="21"/>
        </w:rPr>
        <w:t>.</w:t>
      </w:r>
    </w:p>
    <w:p>
      <w:pPr>
        <w:ind w:left="454"/>
        <w:jc w:val="both"/>
      </w:pPr>
      <w:r>
        <w:rPr>
          <w:rFonts w:ascii="Arial" w:hAnsi="Arial" w:eastAsia="Arial"/>
          <w:b w:val="0"/>
          <w:sz w:val="21"/>
        </w:rPr>
        <w:t xml:space="preserve">* </w:t>
      </w:r>
      <w:r>
        <w:rPr>
          <w:rFonts w:ascii="Arial" w:hAnsi="Arial" w:eastAsia="Arial"/>
          <w:b/>
          <w:sz w:val="21"/>
        </w:rPr>
        <w:t>Relative Frequency:</w:t>
      </w:r>
      <w:r>
        <w:rPr>
          <w:rFonts w:ascii="Arial" w:hAnsi="Arial" w:eastAsia="Arial"/>
          <w:b w:val="0"/>
          <w:sz w:val="21"/>
        </w:rPr>
        <w:t xml:space="preserve"> There were </w:t>
      </w:r>
      <w:r>
        <w:rPr>
          <w:rFonts w:ascii="Arial" w:hAnsi="Arial" w:eastAsia="Arial"/>
          <w:b/>
          <w:sz w:val="21"/>
        </w:rPr>
        <w:t>3,113 total negative reviews</w:t>
      </w:r>
      <w:r>
        <w:rPr>
          <w:rFonts w:ascii="Arial" w:hAnsi="Arial" w:eastAsia="Arial"/>
          <w:b w:val="0"/>
          <w:sz w:val="21"/>
        </w:rPr>
        <w:t xml:space="preserve"> during this period. The word "nunca" appeared in approximately </w:t>
      </w:r>
      <w:r>
        <w:rPr>
          <w:rFonts w:ascii="Arial" w:hAnsi="Arial" w:eastAsia="Arial"/>
          <w:b/>
          <w:sz w:val="21"/>
        </w:rPr>
        <w:t>43.78%</w:t>
      </w:r>
      <w:r>
        <w:rPr>
          <w:rFonts w:ascii="Arial" w:hAnsi="Arial" w:eastAsia="Arial"/>
          <w:b w:val="0"/>
          <w:sz w:val="21"/>
        </w:rPr>
        <w:t xml:space="preserve"> of all negative reviews (1,363 / 3,113).</w:t>
      </w:r>
    </w:p>
    <w:p>
      <w:pPr>
        <w:ind w:left="454"/>
        <w:jc w:val="both"/>
      </w:pPr>
      <w:r>
        <w:rPr>
          <w:rFonts w:ascii="Arial" w:hAnsi="Arial" w:eastAsia="Arial"/>
          <w:b w:val="0"/>
          <w:sz w:val="21"/>
        </w:rPr>
        <w:t>*(Note: The second most frequent word was "citas" with 1,336 occurrences, or 42.92%).*</w:t>
      </w:r>
    </w:p>
    <w:p>
      <w:pPr>
        <w:ind w:left="454"/>
        <w:jc w:val="both"/>
      </w:pPr>
    </w:p>
    <w:p>
      <w:pPr>
        <w:ind w:left="454"/>
        <w:jc w:val="both"/>
      </w:pPr>
      <w:r>
        <w:rPr>
          <w:rFonts w:ascii="Arial" w:hAnsi="Arial" w:eastAsia="Arial"/>
          <w:b w:val="0"/>
          <w:sz w:val="21"/>
        </w:rPr>
        <w:t>### 2. Costa Rica's Domestic General Government Health Expenditure (% of GDP)</w:t>
      </w:r>
    </w:p>
    <w:p>
      <w:pPr>
        <w:ind w:left="454"/>
        <w:jc w:val="both"/>
      </w:pPr>
      <w:r>
        <w:rPr>
          <w:rFonts w:ascii="Arial" w:hAnsi="Arial" w:eastAsia="Arial"/>
          <w:b w:val="0"/>
          <w:sz w:val="21"/>
        </w:rPr>
        <w:t>According to World Bank data, the domestic general government health expenditure as a percentage of GDP for Costa Rica over this period was:</w:t>
      </w:r>
    </w:p>
    <w:p>
      <w:pPr>
        <w:ind w:left="454"/>
        <w:jc w:val="both"/>
      </w:pPr>
      <w:r>
        <w:rPr>
          <w:rFonts w:ascii="Arial" w:hAnsi="Arial" w:eastAsia="Arial"/>
          <w:b w:val="0"/>
          <w:sz w:val="21"/>
        </w:rPr>
        <w:t xml:space="preserve">* </w:t>
      </w:r>
      <w:r>
        <w:rPr>
          <w:rFonts w:ascii="Arial" w:hAnsi="Arial" w:eastAsia="Arial"/>
          <w:b/>
          <w:sz w:val="21"/>
        </w:rPr>
        <w:t>2018:</w:t>
      </w:r>
      <w:r>
        <w:rPr>
          <w:rFonts w:ascii="Arial" w:hAnsi="Arial" w:eastAsia="Arial"/>
          <w:b w:val="0"/>
          <w:sz w:val="21"/>
        </w:rPr>
        <w:t xml:space="preserve"> 5.27% (5.2745%)</w:t>
      </w:r>
    </w:p>
    <w:p>
      <w:pPr>
        <w:ind w:left="454"/>
        <w:jc w:val="both"/>
      </w:pPr>
      <w:r>
        <w:rPr>
          <w:rFonts w:ascii="Arial" w:hAnsi="Arial" w:eastAsia="Arial"/>
          <w:b w:val="0"/>
          <w:sz w:val="21"/>
        </w:rPr>
        <w:t xml:space="preserve">* </w:t>
      </w:r>
      <w:r>
        <w:rPr>
          <w:rFonts w:ascii="Arial" w:hAnsi="Arial" w:eastAsia="Arial"/>
          <w:b/>
          <w:sz w:val="21"/>
        </w:rPr>
        <w:t>2019:</w:t>
      </w:r>
      <w:r>
        <w:rPr>
          <w:rFonts w:ascii="Arial" w:hAnsi="Arial" w:eastAsia="Arial"/>
          <w:b w:val="0"/>
          <w:sz w:val="21"/>
        </w:rPr>
        <w:t xml:space="preserve"> 5.24% (5.2380%)</w:t>
      </w:r>
    </w:p>
    <w:p>
      <w:pPr>
        <w:ind w:left="454"/>
        <w:jc w:val="both"/>
      </w:pPr>
      <w:r>
        <w:rPr>
          <w:rFonts w:ascii="Arial" w:hAnsi="Arial" w:eastAsia="Arial"/>
          <w:b w:val="0"/>
          <w:sz w:val="21"/>
        </w:rPr>
        <w:t xml:space="preserve">* </w:t>
      </w:r>
      <w:r>
        <w:rPr>
          <w:rFonts w:ascii="Arial" w:hAnsi="Arial" w:eastAsia="Arial"/>
          <w:b/>
          <w:sz w:val="21"/>
        </w:rPr>
        <w:t>2020:</w:t>
      </w:r>
      <w:r>
        <w:rPr>
          <w:rFonts w:ascii="Arial" w:hAnsi="Arial" w:eastAsia="Arial"/>
          <w:b w:val="0"/>
          <w:sz w:val="21"/>
        </w:rPr>
        <w:t xml:space="preserve"> 5.62% (5.6192%)</w:t>
      </w:r>
    </w:p>
    <w:p>
      <w:pPr>
        <w:ind w:left="454"/>
        <w:jc w:val="both"/>
      </w:pPr>
    </w:p>
    <w:p>
      <w:pPr>
        <w:ind w:left="454"/>
        <w:jc w:val="both"/>
      </w:pPr>
      <w:r>
        <w:rPr>
          <w:rFonts w:ascii="Arial" w:hAnsi="Arial" w:eastAsia="Arial"/>
          <w:b/>
          <w:sz w:val="21"/>
        </w:rPr>
        <w:t>Trend Analysis:</w:t>
      </w:r>
    </w:p>
    <w:p>
      <w:pPr>
        <w:ind w:left="454"/>
        <w:jc w:val="both"/>
      </w:pPr>
      <w:r>
        <w:rPr>
          <w:rFonts w:ascii="Arial" w:hAnsi="Arial" w:eastAsia="Arial"/>
          <w:b w:val="0"/>
          <w:sz w:val="21"/>
        </w:rPr>
        <w:t xml:space="preserve">The expenditure experienced a slight decrease of about </w:t>
      </w:r>
      <w:r>
        <w:rPr>
          <w:rFonts w:ascii="Arial" w:hAnsi="Arial" w:eastAsia="Arial"/>
          <w:b/>
          <w:sz w:val="21"/>
        </w:rPr>
        <w:t>0.03 percentage points</w:t>
      </w:r>
      <w:r>
        <w:rPr>
          <w:rFonts w:ascii="Arial" w:hAnsi="Arial" w:eastAsia="Arial"/>
          <w:b w:val="0"/>
          <w:sz w:val="21"/>
        </w:rPr>
        <w:t xml:space="preserve"> from 2018 to 2019, followed by a significant increase of </w:t>
      </w:r>
      <w:r>
        <w:rPr>
          <w:rFonts w:ascii="Arial" w:hAnsi="Arial" w:eastAsia="Arial"/>
          <w:b/>
          <w:sz w:val="21"/>
        </w:rPr>
        <w:t>0.38 percentage points</w:t>
      </w:r>
      <w:r>
        <w:rPr>
          <w:rFonts w:ascii="Arial" w:hAnsi="Arial" w:eastAsia="Arial"/>
          <w:b w:val="0"/>
          <w:sz w:val="21"/>
        </w:rPr>
        <w:t xml:space="preserve"> in 2020 (likely reflecting increased public health funding in response to the COVID-19 pandemic). Overall, the trend shows a net increase from </w:t>
      </w:r>
      <w:r>
        <w:rPr>
          <w:rFonts w:ascii="Arial" w:hAnsi="Arial" w:eastAsia="Arial"/>
          <w:b/>
          <w:sz w:val="21"/>
        </w:rPr>
        <w:t>5.27% to 5.62%</w:t>
      </w:r>
      <w:r>
        <w:rPr>
          <w:rFonts w:ascii="Arial" w:hAnsi="Arial" w:eastAsia="Arial"/>
          <w:b w:val="0"/>
          <w:sz w:val="21"/>
        </w:rPr>
        <w:t xml:space="preserve"> over the three-year period.</w:t>
      </w:r>
    </w:p>
    <w:p>
      <w:pPr>
        <w:jc w:val="center"/>
      </w:pPr>
      <w:r>
        <w:t>____________________________________________________________</w:t>
      </w:r>
    </w:p>
    <w:p>
      <w:pPr>
        <w:keepNext/>
        <w:spacing w:before="240"/>
        <w:jc w:val="left"/>
      </w:pPr>
      <w:r>
        <w:rPr>
          <w:rFonts w:ascii="Arial" w:hAnsi="Arial" w:eastAsia="Arial"/>
          <w:b/>
          <w:color w:val="1B4F72"/>
          <w:sz w:val="26"/>
        </w:rPr>
        <w:t>R06</w:t>
      </w:r>
    </w:p>
    <w:p>
      <w:pPr>
        <w:spacing w:after="120"/>
        <w:jc w:val="both"/>
      </w:pPr>
      <w:r>
        <w:rPr>
          <w:rFonts w:ascii="Arial" w:hAnsi="Arial" w:eastAsia="Arial"/>
          <w:b/>
          <w:sz w:val="22"/>
        </w:rPr>
        <w:t>Pregunta:</w:t>
      </w:r>
      <w:r>
        <w:rPr>
          <w:rFonts w:ascii="Arial" w:hAnsi="Arial" w:eastAsia="Arial"/>
          <w:b w:val="0"/>
          <w:sz w:val="22"/>
        </w:rPr>
        <w:t xml:space="preserve"> What was the main problem reported by users of the application during 2020–2022, and did the World Bank trend in health expenditure per capita and the OECD trend in health expenditure as a percentage of GDP move in the same or opposite directions over that period?</w:t>
      </w:r>
    </w:p>
    <w:p>
      <w:pPr>
        <w:spacing w:after="120"/>
        <w:jc w:val="both"/>
      </w:pPr>
      <w:r>
        <w:rPr>
          <w:rFonts w:ascii="Arial" w:hAnsi="Arial" w:eastAsia="Arial"/>
          <w:b/>
          <w:sz w:val="22"/>
        </w:rPr>
        <w:t>Llamadas a herramientas (en el orden emitido):</w:t>
      </w:r>
    </w:p>
    <w:p>
      <w:pPr>
        <w:ind w:left="454" w:hanging="283"/>
        <w:jc w:val="left"/>
      </w:pPr>
      <w:r>
        <w:rPr>
          <w:rFonts w:ascii="Arial" w:hAnsi="Arial" w:eastAsia="Arial"/>
          <w:b w:val="0"/>
          <w:sz w:val="22"/>
        </w:rPr>
        <w:t xml:space="preserve">1. </w:t>
      </w:r>
      <w:r>
        <w:rPr>
          <w:rFonts w:ascii="Consolas" w:hAnsi="Consolas" w:eastAsia="Consolas"/>
          <w:sz w:val="18"/>
        </w:rPr>
        <w:t>query_local_reviews</w:t>
      </w:r>
      <w:r>
        <w:rPr>
          <w:rFonts w:ascii="Arial" w:hAnsi="Arial" w:eastAsia="Arial"/>
          <w:b w:val="0"/>
          <w:sz w:val="22"/>
        </w:rPr>
        <w:t xml:space="preserve"> — argumentos: </w:t>
      </w:r>
      <w:r>
        <w:rPr>
          <w:rFonts w:ascii="Consolas" w:hAnsi="Consolas" w:eastAsia="Consolas"/>
          <w:sz w:val="18"/>
        </w:rPr>
        <w:t>{"end_date": "2022-12-31", "start_date": "2020-01-01"}</w:t>
      </w:r>
    </w:p>
    <w:p>
      <w:pPr>
        <w:spacing w:after="120"/>
        <w:jc w:val="both"/>
      </w:pPr>
      <w:r>
        <w:rPr>
          <w:rFonts w:ascii="Arial" w:hAnsi="Arial" w:eastAsia="Arial"/>
          <w:b w:val="0"/>
          <w:sz w:val="22"/>
        </w:rPr>
        <w:t>Resultado: OK</w:t>
      </w:r>
    </w:p>
    <w:p>
      <w:pPr>
        <w:ind w:left="454"/>
        <w:jc w:val="left"/>
      </w:pPr>
      <w:r>
        <w:rPr>
          <w:rFonts w:ascii="Consolas" w:hAnsi="Consolas" w:eastAsia="Consolas"/>
          <w:sz w:val="18"/>
        </w:rPr>
        <w:t>{"source": "local_reviews", "date_range": {"start": "2020-01-01", "end": "2022-12-31"}, "total_reviews": 25190, "valid_reviews_for_analysis": 25190, "sentiment_distribution": {"NEG": 3930, "POS": 19657, "NEU": 1603}, "top_negative_keywords": [["citas", 1641], ["nunca", 1505], ["cita", 1196], ["sacar", 1181], ["mala", 395], ["sirve", 380], ["puede", 372], ["nada", 333], ["disponibles", 315], ["uno", 265], ["puedo", 256], ["dice", 234], ["información", 219], ["solo", 207], ["ebais", 207]], "sample_negative_reviews": ["La contraseña hay que cambiarla cada vez que uno ingresa.... Terrible.", "Muy mala solo he podido sacar como dos citas tal vez una estrella por que no se puede dar menos", "Nunca he podido utilizarla no me deja sacar una cita", "Tengo un mes de tratar sacar cita y hace todo el proceso y sl final al confirmar la cita aparece un error he tratado de conseguir ayuda 3 veces con el 905 pero nunca me han podido resolver ni orientar para poder hscerlo", "Tengo más de un mes de que no corre bien la app. Otros compañeros si pueden ver la información de su pensión y yo no puedo. Todo lo demás bien, pero en el tema de pensión FATAL 😡"], "negative_review_count": 3930, "topic_coverage": {"with_topic_assignment": 3930, "missing_topic_assignment_count": 0, "assigned_non_noise_count": 2627, "topic_noise_count": 1303, "excluded_assigned_review_count": 278, "substantive_problem_count": 2349, "substantive_coverage_pct": 59.771}, "problem_categories": [{"category": "ACCESO_CITAS", "count": 1507, "pct_of_substantive_problems": 64.155, "pct_of_negative_reviews": 38.3461}, {"category": "INFORMACION_CLINICA", "count": 300, "pct_of_substantive_problems": 12.7714, "pct_of_negative_reviews": 7.6336}, {"category": "AUTENTICACION_ACCESO", "count": 220, "pct_of_substantive_problems": 9.3657, "pct_of_negative_reviews": 5.598}, {"category": "RENDIMIENTO_APP", "count": 159, "pct_of_substantive_problems": 6.7688, "pct_of_negative_reviews": 4.0458}, {"category": "CALIDAD_ACTUALIZACION_INFO", "count": 69, "pct_of_substantive_problems": 2.9374, "pct_of_negative_reviews": 1.7557}, {"category": "INFORMACION_ADMINISTRATIVA", "count": 49, "pct_of_substantive_problems": 2.086, "pct_of_negative_reviews": 1.2468}, {"category": "REGISTRO_CUENTA", "count": 45, "pct_of_substantive_problems": 1.9157, "pct_of_negative_reviews": 1.145}], "main_problem": {"category": "ACCESO_CITAS", "count": 1507, "pct_of_substantive_problems": 64.155, "pct_of_negative_reviews": 38.3461}, "invalid_rating_count": 0, "invalid_rating_pct": 0.0}</w:t>
      </w:r>
    </w:p>
    <w:p>
      <w:pPr>
        <w:ind w:left="454" w:hanging="283"/>
        <w:jc w:val="left"/>
      </w:pPr>
      <w:r>
        <w:rPr>
          <w:rFonts w:ascii="Arial" w:hAnsi="Arial" w:eastAsia="Arial"/>
          <w:b w:val="0"/>
          <w:sz w:val="22"/>
        </w:rPr>
        <w:t xml:space="preserve">2. </w:t>
      </w:r>
      <w:r>
        <w:rPr>
          <w:rFonts w:ascii="Consolas" w:hAnsi="Consolas" w:eastAsia="Consolas"/>
          <w:sz w:val="18"/>
        </w:rPr>
        <w:t>get_worldbank_indicator</w:t>
      </w:r>
      <w:r>
        <w:rPr>
          <w:rFonts w:ascii="Arial" w:hAnsi="Arial" w:eastAsia="Arial"/>
          <w:b w:val="0"/>
          <w:sz w:val="22"/>
        </w:rPr>
        <w:t xml:space="preserve"> — argumentos: </w:t>
      </w:r>
      <w:r>
        <w:rPr>
          <w:rFonts w:ascii="Consolas" w:hAnsi="Consolas" w:eastAsia="Consolas"/>
          <w:sz w:val="18"/>
        </w:rPr>
        <w:t>{"start_year": 2020, "country_iso3": "CRI", "indicator": "current_health_expenditure_per_capita_usd", "end_year": 2022}</w:t>
      </w:r>
    </w:p>
    <w:p>
      <w:pPr>
        <w:spacing w:after="120"/>
        <w:jc w:val="both"/>
      </w:pPr>
      <w:r>
        <w:rPr>
          <w:rFonts w:ascii="Arial" w:hAnsi="Arial" w:eastAsia="Arial"/>
          <w:b w:val="0"/>
          <w:sz w:val="22"/>
        </w:rPr>
        <w:t>Resultado: OK</w:t>
      </w:r>
    </w:p>
    <w:p>
      <w:pPr>
        <w:ind w:left="454"/>
        <w:jc w:val="left"/>
      </w:pPr>
      <w:r>
        <w:rPr>
          <w:rFonts w:ascii="Consolas" w:hAnsi="Consolas" w:eastAsia="Consolas"/>
          <w:sz w:val="18"/>
        </w:rPr>
        <w:t>{"source": "World Bank", "indicator_code": "SH.XPD.CHEX.PC.CD", "indicator_name": "Current health expenditure per capita (current US$)", "country_iso3": "CRI", "observations": [{"year": "2020", "value": 969.89099121}, {"year": "2021", "value": 977.14831543}, {"year": "2022", "value": 978.84155273}], "query_url": "https://api.worldbank.org/v2/country/CRI/indicator/SH.XPD.CHEX.PC.CD?format=json&amp;per_page=1000&amp;date=2020%3A2022"}</w:t>
      </w:r>
    </w:p>
    <w:p>
      <w:pPr>
        <w:ind w:left="454" w:hanging="283"/>
        <w:jc w:val="left"/>
      </w:pPr>
      <w:r>
        <w:rPr>
          <w:rFonts w:ascii="Arial" w:hAnsi="Arial" w:eastAsia="Arial"/>
          <w:b w:val="0"/>
          <w:sz w:val="22"/>
        </w:rPr>
        <w:t xml:space="preserve">3. </w:t>
      </w:r>
      <w:r>
        <w:rPr>
          <w:rFonts w:ascii="Consolas" w:hAnsi="Consolas" w:eastAsia="Consolas"/>
          <w:sz w:val="18"/>
        </w:rPr>
        <w:t>get_oecd_indicator</w:t>
      </w:r>
      <w:r>
        <w:rPr>
          <w:rFonts w:ascii="Arial" w:hAnsi="Arial" w:eastAsia="Arial"/>
          <w:b w:val="0"/>
          <w:sz w:val="22"/>
        </w:rPr>
        <w:t xml:space="preserve"> — argumentos: </w:t>
      </w:r>
      <w:r>
        <w:rPr>
          <w:rFonts w:ascii="Consolas" w:hAnsi="Consolas" w:eastAsia="Consolas"/>
          <w:sz w:val="18"/>
        </w:rPr>
        <w:t>{"country_iso3": "CRI", "indicator": "health_expenditure_pct_gdp", "start_period": "2020"}</w:t>
      </w:r>
    </w:p>
    <w:p>
      <w:pPr>
        <w:spacing w:after="120"/>
        <w:jc w:val="both"/>
      </w:pPr>
      <w:r>
        <w:rPr>
          <w:rFonts w:ascii="Arial" w:hAnsi="Arial" w:eastAsia="Arial"/>
          <w:b w:val="0"/>
          <w:sz w:val="22"/>
        </w:rPr>
        <w:t>Resultado: OK</w:t>
      </w:r>
    </w:p>
    <w:p>
      <w:pPr>
        <w:ind w:left="454"/>
        <w:jc w:val="left"/>
      </w:pPr>
      <w:r>
        <w:rPr>
          <w:rFonts w:ascii="Consolas" w:hAnsi="Consolas" w:eastAsia="Consolas"/>
          <w:sz w:val="18"/>
        </w:rPr>
        <w:t>{"source": "OECD", "dataflow": "OECD.ELS.HD,DSD_SHA@DF_SHA,", "key": "CRI.A.EXP_HEALTH.PT_B1GQ._T._Z._T._T._T._Z._Z._Z", "country_iso3": "CRI", "observations": [{"year": "2020", "value": 7.825}, {"year": "2021", "value": 7.611}, {"year": "2022", "value": 7.184}, {"year": "2023", "value": 6.866}, {"year": "2024", "value": 6.91}, {"year": "2025", "value": 6.776}], "query_url": "https://sdmx.oecd.org/public/rest/data/OECD.ELS.HD,DSD_SHA@DF_SHA,/CRI.A.EXP_HEALTH.PT_B1GQ._T._Z._T._T._T._Z._Z._Z?startPeriod=2020", "response_meta": {"schema": "https://raw.githubusercontent.com/sdmx-twg/sdmx-json/master/data-message/tools/schemas/2.0.0/sdmx-json-data-schema.json", "id": "IREF001022", "prepared": "2026-09-07T02:46:43Z", "test": false, "contentLanguages": ["en", "en-US"], "sender": {"id": "Disseminate_Final_DMZ", "name": "unknown", "names": {"en-US": "unknown"}}}}</w:t>
      </w:r>
    </w:p>
    <w:p>
      <w:pPr>
        <w:spacing w:after="120"/>
        <w:jc w:val="both"/>
      </w:pPr>
      <w:r>
        <w:rPr>
          <w:rFonts w:ascii="Arial" w:hAnsi="Arial" w:eastAsia="Arial"/>
          <w:b/>
          <w:sz w:val="22"/>
        </w:rPr>
        <w:t>Respuesta final del sistema:</w:t>
      </w:r>
    </w:p>
    <w:p>
      <w:pPr>
        <w:ind w:left="454"/>
        <w:jc w:val="both"/>
      </w:pPr>
      <w:r>
        <w:rPr>
          <w:rFonts w:ascii="Arial" w:hAnsi="Arial" w:eastAsia="Arial"/>
          <w:b w:val="0"/>
          <w:sz w:val="21"/>
        </w:rPr>
        <w:t xml:space="preserve">Based on the analysis of the local user reviews and institutional health indicators for </w:t>
      </w:r>
      <w:r>
        <w:rPr>
          <w:rFonts w:ascii="Arial" w:hAnsi="Arial" w:eastAsia="Arial"/>
          <w:b/>
          <w:sz w:val="21"/>
        </w:rPr>
        <w:t>Costa Rica (CRI)</w:t>
      </w:r>
      <w:r>
        <w:rPr>
          <w:rFonts w:ascii="Arial" w:hAnsi="Arial" w:eastAsia="Arial"/>
          <w:b w:val="0"/>
          <w:sz w:val="21"/>
        </w:rPr>
        <w:t xml:space="preserve"> (identified by the local term *"ebais"* in the reviews), here are the findings for the 2020–2022 period:</w:t>
      </w:r>
    </w:p>
    <w:p>
      <w:pPr>
        <w:ind w:left="454"/>
        <w:jc w:val="both"/>
      </w:pPr>
    </w:p>
    <w:p>
      <w:pPr>
        <w:ind w:left="454"/>
        <w:jc w:val="both"/>
      </w:pPr>
      <w:r>
        <w:rPr>
          <w:rFonts w:ascii="Arial" w:hAnsi="Arial" w:eastAsia="Arial"/>
          <w:b w:val="0"/>
          <w:sz w:val="21"/>
        </w:rPr>
        <w:t>### 1. Main Problem Reported by Users (2020–2022)</w:t>
      </w:r>
    </w:p>
    <w:p>
      <w:pPr>
        <w:ind w:left="454"/>
        <w:jc w:val="both"/>
      </w:pPr>
      <w:r>
        <w:rPr>
          <w:rFonts w:ascii="Arial" w:hAnsi="Arial" w:eastAsia="Arial"/>
          <w:b w:val="0"/>
          <w:sz w:val="21"/>
        </w:rPr>
        <w:t xml:space="preserve">The principal problem reported by users of the digital health application was </w:t>
      </w:r>
      <w:r>
        <w:rPr>
          <w:rFonts w:ascii="Arial" w:hAnsi="Arial" w:eastAsia="Arial"/>
          <w:b/>
          <w:sz w:val="21"/>
        </w:rPr>
        <w:t>`ACCESO_CITAS` (Access to Appointments)</w:t>
      </w:r>
      <w:r>
        <w:rPr>
          <w:rFonts w:ascii="Arial" w:hAnsi="Arial" w:eastAsia="Arial"/>
          <w:b w:val="0"/>
          <w:sz w:val="21"/>
        </w:rPr>
        <w:t>.</w:t>
      </w:r>
    </w:p>
    <w:p>
      <w:pPr>
        <w:ind w:left="454"/>
        <w:jc w:val="both"/>
      </w:pPr>
    </w:p>
    <w:p>
      <w:pPr>
        <w:ind w:left="454"/>
        <w:jc w:val="both"/>
      </w:pPr>
      <w:r>
        <w:rPr>
          <w:rFonts w:ascii="Arial" w:hAnsi="Arial" w:eastAsia="Arial"/>
          <w:b w:val="0"/>
          <w:sz w:val="21"/>
        </w:rPr>
        <w:t xml:space="preserve">* </w:t>
      </w:r>
      <w:r>
        <w:rPr>
          <w:rFonts w:ascii="Arial" w:hAnsi="Arial" w:eastAsia="Arial"/>
          <w:b/>
          <w:sz w:val="21"/>
        </w:rPr>
        <w:t>Volume:</w:t>
      </w:r>
      <w:r>
        <w:rPr>
          <w:rFonts w:ascii="Arial" w:hAnsi="Arial" w:eastAsia="Arial"/>
          <w:b w:val="0"/>
          <w:sz w:val="21"/>
        </w:rPr>
        <w:t xml:space="preserve"> It accounted for </w:t>
      </w:r>
      <w:r>
        <w:rPr>
          <w:rFonts w:ascii="Arial" w:hAnsi="Arial" w:eastAsia="Arial"/>
          <w:b/>
          <w:sz w:val="21"/>
        </w:rPr>
        <w:t>1,507 negative reviews</w:t>
      </w:r>
      <w:r>
        <w:rPr>
          <w:rFonts w:ascii="Arial" w:hAnsi="Arial" w:eastAsia="Arial"/>
          <w:b w:val="0"/>
          <w:sz w:val="21"/>
        </w:rPr>
        <w:t xml:space="preserve">, representing </w:t>
      </w:r>
      <w:r>
        <w:rPr>
          <w:rFonts w:ascii="Arial" w:hAnsi="Arial" w:eastAsia="Arial"/>
          <w:b/>
          <w:sz w:val="21"/>
        </w:rPr>
        <w:t>38.35%</w:t>
      </w:r>
      <w:r>
        <w:rPr>
          <w:rFonts w:ascii="Arial" w:hAnsi="Arial" w:eastAsia="Arial"/>
          <w:b w:val="0"/>
          <w:sz w:val="21"/>
        </w:rPr>
        <w:t xml:space="preserve"> of all negative reviews and </w:t>
      </w:r>
      <w:r>
        <w:rPr>
          <w:rFonts w:ascii="Arial" w:hAnsi="Arial" w:eastAsia="Arial"/>
          <w:b/>
          <w:sz w:val="21"/>
        </w:rPr>
        <w:t>64.16%</w:t>
      </w:r>
      <w:r>
        <w:rPr>
          <w:rFonts w:ascii="Arial" w:hAnsi="Arial" w:eastAsia="Arial"/>
          <w:b w:val="0"/>
          <w:sz w:val="21"/>
        </w:rPr>
        <w:t xml:space="preserve"> of all classified substantive problems.</w:t>
      </w:r>
    </w:p>
    <w:p>
      <w:pPr>
        <w:ind w:left="454"/>
        <w:jc w:val="both"/>
      </w:pPr>
      <w:r>
        <w:rPr>
          <w:rFonts w:ascii="Arial" w:hAnsi="Arial" w:eastAsia="Arial"/>
          <w:b w:val="0"/>
          <w:sz w:val="21"/>
        </w:rPr>
        <w:t xml:space="preserve">* </w:t>
      </w:r>
      <w:r>
        <w:rPr>
          <w:rFonts w:ascii="Arial" w:hAnsi="Arial" w:eastAsia="Arial"/>
          <w:b/>
          <w:sz w:val="21"/>
        </w:rPr>
        <w:t>User Experience:</w:t>
      </w:r>
      <w:r>
        <w:rPr>
          <w:rFonts w:ascii="Arial" w:hAnsi="Arial" w:eastAsia="Arial"/>
          <w:b w:val="0"/>
          <w:sz w:val="21"/>
        </w:rPr>
        <w:t xml:space="preserve"> Users frequently complained about the extreme difficulty or impossibility of booking medical appointments (*"sacar citas"*), lack of available slots (*"disponibles"*), and system errors during the confirmation process. This is heavily reflected in the top negative keywords: *citas, nunca, cita, sacar, mala, sirva, disponibles,* and *ebais*.</w:t>
      </w:r>
    </w:p>
    <w:p>
      <w:pPr>
        <w:ind w:left="454"/>
        <w:jc w:val="both"/>
      </w:pPr>
    </w:p>
    <w:p>
      <w:pPr>
        <w:ind w:left="454"/>
        <w:jc w:val="both"/>
      </w:pPr>
      <w:r>
        <w:rPr>
          <w:rFonts w:ascii="Arial" w:hAnsi="Arial" w:eastAsia="Arial"/>
          <w:b w:val="0"/>
          <w:sz w:val="21"/>
        </w:rPr>
        <w:t>---</w:t>
      </w:r>
    </w:p>
    <w:p>
      <w:pPr>
        <w:ind w:left="454"/>
        <w:jc w:val="both"/>
      </w:pPr>
    </w:p>
    <w:p>
      <w:pPr>
        <w:ind w:left="454"/>
        <w:jc w:val="both"/>
      </w:pPr>
      <w:r>
        <w:rPr>
          <w:rFonts w:ascii="Arial" w:hAnsi="Arial" w:eastAsia="Arial"/>
          <w:b w:val="0"/>
          <w:sz w:val="21"/>
        </w:rPr>
        <w:t>### 2. Comparison of Health Expenditure Trends (2020–2022)</w:t>
      </w:r>
    </w:p>
    <w:p>
      <w:pPr>
        <w:ind w:left="454"/>
        <w:jc w:val="both"/>
      </w:pPr>
      <w:r>
        <w:rPr>
          <w:rFonts w:ascii="Arial" w:hAnsi="Arial" w:eastAsia="Arial"/>
          <w:b w:val="0"/>
          <w:sz w:val="21"/>
        </w:rPr>
        <w:t xml:space="preserve">The World Bank trend in health expenditure per capita and the OECD trend in health expenditure as a percentage of GDP moved in </w:t>
      </w:r>
      <w:r>
        <w:rPr>
          <w:rFonts w:ascii="Arial" w:hAnsi="Arial" w:eastAsia="Arial"/>
          <w:b/>
          <w:sz w:val="21"/>
        </w:rPr>
        <w:t>opposite directions</w:t>
      </w:r>
      <w:r>
        <w:rPr>
          <w:rFonts w:ascii="Arial" w:hAnsi="Arial" w:eastAsia="Arial"/>
          <w:b w:val="0"/>
          <w:sz w:val="21"/>
        </w:rPr>
        <w:t xml:space="preserve"> over this period.</w:t>
      </w:r>
    </w:p>
    <w:p>
      <w:pPr>
        <w:ind w:left="454"/>
        <w:jc w:val="both"/>
      </w:pPr>
    </w:p>
    <w:p>
      <w:pPr>
        <w:ind w:left="454"/>
        <w:jc w:val="both"/>
      </w:pPr>
      <w:r>
        <w:rPr>
          <w:rFonts w:ascii="Arial" w:hAnsi="Arial" w:eastAsia="Arial"/>
          <w:b w:val="0"/>
          <w:sz w:val="21"/>
        </w:rPr>
        <w:t xml:space="preserve">#### </w:t>
      </w:r>
      <w:r>
        <w:rPr>
          <w:rFonts w:ascii="Arial" w:hAnsi="Arial" w:eastAsia="Arial"/>
          <w:b/>
          <w:sz w:val="21"/>
        </w:rPr>
        <w:t>World Bank Trend: Current Health Expenditure per Capita (current US$)</w:t>
      </w:r>
    </w:p>
    <w:p>
      <w:pPr>
        <w:ind w:left="454"/>
        <w:jc w:val="both"/>
      </w:pPr>
      <w:r>
        <w:rPr>
          <w:rFonts w:ascii="Arial" w:hAnsi="Arial" w:eastAsia="Arial"/>
          <w:b w:val="0"/>
          <w:sz w:val="21"/>
        </w:rPr>
        <w:t xml:space="preserve">* </w:t>
      </w:r>
      <w:r>
        <w:rPr>
          <w:rFonts w:ascii="Arial" w:hAnsi="Arial" w:eastAsia="Arial"/>
          <w:b/>
          <w:sz w:val="21"/>
        </w:rPr>
        <w:t>2020:</w:t>
      </w:r>
      <w:r>
        <w:rPr>
          <w:rFonts w:ascii="Arial" w:hAnsi="Arial" w:eastAsia="Arial"/>
          <w:b w:val="0"/>
          <w:sz w:val="21"/>
        </w:rPr>
        <w:t xml:space="preserve"> $969.89 USD</w:t>
      </w:r>
    </w:p>
    <w:p>
      <w:pPr>
        <w:ind w:left="454"/>
        <w:jc w:val="both"/>
      </w:pPr>
      <w:r>
        <w:rPr>
          <w:rFonts w:ascii="Arial" w:hAnsi="Arial" w:eastAsia="Arial"/>
          <w:b w:val="0"/>
          <w:sz w:val="21"/>
        </w:rPr>
        <w:t xml:space="preserve">* </w:t>
      </w:r>
      <w:r>
        <w:rPr>
          <w:rFonts w:ascii="Arial" w:hAnsi="Arial" w:eastAsia="Arial"/>
          <w:b/>
          <w:sz w:val="21"/>
        </w:rPr>
        <w:t>2021:</w:t>
      </w:r>
      <w:r>
        <w:rPr>
          <w:rFonts w:ascii="Arial" w:hAnsi="Arial" w:eastAsia="Arial"/>
          <w:b w:val="0"/>
          <w:sz w:val="21"/>
        </w:rPr>
        <w:t xml:space="preserve"> $977.15 USD</w:t>
      </w:r>
    </w:p>
    <w:p>
      <w:pPr>
        <w:ind w:left="454"/>
        <w:jc w:val="both"/>
      </w:pPr>
      <w:r>
        <w:rPr>
          <w:rFonts w:ascii="Arial" w:hAnsi="Arial" w:eastAsia="Arial"/>
          <w:b w:val="0"/>
          <w:sz w:val="21"/>
        </w:rPr>
        <w:t xml:space="preserve">* </w:t>
      </w:r>
      <w:r>
        <w:rPr>
          <w:rFonts w:ascii="Arial" w:hAnsi="Arial" w:eastAsia="Arial"/>
          <w:b/>
          <w:sz w:val="21"/>
        </w:rPr>
        <w:t>2022:</w:t>
      </w:r>
      <w:r>
        <w:rPr>
          <w:rFonts w:ascii="Arial" w:hAnsi="Arial" w:eastAsia="Arial"/>
          <w:b w:val="0"/>
          <w:sz w:val="21"/>
        </w:rPr>
        <w:t xml:space="preserve"> $978.84 USD</w:t>
      </w:r>
    </w:p>
    <w:p>
      <w:pPr>
        <w:ind w:left="454"/>
        <w:jc w:val="both"/>
      </w:pPr>
      <w:r>
        <w:rPr>
          <w:rFonts w:ascii="Arial" w:hAnsi="Arial" w:eastAsia="Arial"/>
          <w:b w:val="0"/>
          <w:sz w:val="21"/>
        </w:rPr>
        <w:t xml:space="preserve">* </w:t>
      </w:r>
      <w:r>
        <w:rPr>
          <w:rFonts w:ascii="Arial" w:hAnsi="Arial" w:eastAsia="Arial"/>
          <w:b/>
          <w:sz w:val="21"/>
        </w:rPr>
        <w:t>Direction:</w:t>
      </w:r>
      <w:r>
        <w:rPr>
          <w:rFonts w:ascii="Arial" w:hAnsi="Arial" w:eastAsia="Arial"/>
          <w:b w:val="0"/>
          <w:sz w:val="21"/>
        </w:rPr>
        <w:t xml:space="preserve"> </w:t>
      </w:r>
      <w:r>
        <w:rPr>
          <w:rFonts w:ascii="Arial" w:hAnsi="Arial" w:eastAsia="Arial"/>
          <w:b/>
          <w:sz w:val="21"/>
        </w:rPr>
        <w:t>Upward (Increasing)</w:t>
      </w:r>
      <w:r>
        <w:rPr>
          <w:rFonts w:ascii="Arial" w:hAnsi="Arial" w:eastAsia="Arial"/>
          <w:b w:val="0"/>
          <w:sz w:val="21"/>
        </w:rPr>
        <w:t>. Per capita spending in USD grew steadily by approximately 0.92% over these years.</w:t>
      </w:r>
    </w:p>
    <w:p>
      <w:pPr>
        <w:ind w:left="454"/>
        <w:jc w:val="both"/>
      </w:pPr>
    </w:p>
    <w:p>
      <w:pPr>
        <w:ind w:left="454"/>
        <w:jc w:val="both"/>
      </w:pPr>
      <w:r>
        <w:rPr>
          <w:rFonts w:ascii="Arial" w:hAnsi="Arial" w:eastAsia="Arial"/>
          <w:b w:val="0"/>
          <w:sz w:val="21"/>
        </w:rPr>
        <w:t xml:space="preserve">#### </w:t>
      </w:r>
      <w:r>
        <w:rPr>
          <w:rFonts w:ascii="Arial" w:hAnsi="Arial" w:eastAsia="Arial"/>
          <w:b/>
          <w:sz w:val="21"/>
        </w:rPr>
        <w:t>OECD Trend: Health Expenditure as a Percentage of GDP (%)</w:t>
      </w:r>
    </w:p>
    <w:p>
      <w:pPr>
        <w:ind w:left="454"/>
        <w:jc w:val="both"/>
      </w:pPr>
      <w:r>
        <w:rPr>
          <w:rFonts w:ascii="Arial" w:hAnsi="Arial" w:eastAsia="Arial"/>
          <w:b w:val="0"/>
          <w:sz w:val="21"/>
        </w:rPr>
        <w:t xml:space="preserve">* </w:t>
      </w:r>
      <w:r>
        <w:rPr>
          <w:rFonts w:ascii="Arial" w:hAnsi="Arial" w:eastAsia="Arial"/>
          <w:b/>
          <w:sz w:val="21"/>
        </w:rPr>
        <w:t>2020:</w:t>
      </w:r>
      <w:r>
        <w:rPr>
          <w:rFonts w:ascii="Arial" w:hAnsi="Arial" w:eastAsia="Arial"/>
          <w:b w:val="0"/>
          <w:sz w:val="21"/>
        </w:rPr>
        <w:t xml:space="preserve"> 7.825%</w:t>
      </w:r>
    </w:p>
    <w:p>
      <w:pPr>
        <w:ind w:left="454"/>
        <w:jc w:val="both"/>
      </w:pPr>
      <w:r>
        <w:rPr>
          <w:rFonts w:ascii="Arial" w:hAnsi="Arial" w:eastAsia="Arial"/>
          <w:b w:val="0"/>
          <w:sz w:val="21"/>
        </w:rPr>
        <w:t xml:space="preserve">* </w:t>
      </w:r>
      <w:r>
        <w:rPr>
          <w:rFonts w:ascii="Arial" w:hAnsi="Arial" w:eastAsia="Arial"/>
          <w:b/>
          <w:sz w:val="21"/>
        </w:rPr>
        <w:t>2021:</w:t>
      </w:r>
      <w:r>
        <w:rPr>
          <w:rFonts w:ascii="Arial" w:hAnsi="Arial" w:eastAsia="Arial"/>
          <w:b w:val="0"/>
          <w:sz w:val="21"/>
        </w:rPr>
        <w:t xml:space="preserve"> 7.611%</w:t>
      </w:r>
    </w:p>
    <w:p>
      <w:pPr>
        <w:ind w:left="454"/>
        <w:jc w:val="both"/>
      </w:pPr>
      <w:r>
        <w:rPr>
          <w:rFonts w:ascii="Arial" w:hAnsi="Arial" w:eastAsia="Arial"/>
          <w:b w:val="0"/>
          <w:sz w:val="21"/>
        </w:rPr>
        <w:t xml:space="preserve">* </w:t>
      </w:r>
      <w:r>
        <w:rPr>
          <w:rFonts w:ascii="Arial" w:hAnsi="Arial" w:eastAsia="Arial"/>
          <w:b/>
          <w:sz w:val="21"/>
        </w:rPr>
        <w:t>2022:</w:t>
      </w:r>
      <w:r>
        <w:rPr>
          <w:rFonts w:ascii="Arial" w:hAnsi="Arial" w:eastAsia="Arial"/>
          <w:b w:val="0"/>
          <w:sz w:val="21"/>
        </w:rPr>
        <w:t xml:space="preserve"> 7.184%</w:t>
      </w:r>
    </w:p>
    <w:p>
      <w:pPr>
        <w:ind w:left="454"/>
        <w:jc w:val="both"/>
      </w:pPr>
      <w:r>
        <w:rPr>
          <w:rFonts w:ascii="Arial" w:hAnsi="Arial" w:eastAsia="Arial"/>
          <w:b w:val="0"/>
          <w:sz w:val="21"/>
        </w:rPr>
        <w:t xml:space="preserve">* </w:t>
      </w:r>
      <w:r>
        <w:rPr>
          <w:rFonts w:ascii="Arial" w:hAnsi="Arial" w:eastAsia="Arial"/>
          <w:b/>
          <w:sz w:val="21"/>
        </w:rPr>
        <w:t>Direction:</w:t>
      </w:r>
      <w:r>
        <w:rPr>
          <w:rFonts w:ascii="Arial" w:hAnsi="Arial" w:eastAsia="Arial"/>
          <w:b w:val="0"/>
          <w:sz w:val="21"/>
        </w:rPr>
        <w:t xml:space="preserve"> </w:t>
      </w:r>
      <w:r>
        <w:rPr>
          <w:rFonts w:ascii="Arial" w:hAnsi="Arial" w:eastAsia="Arial"/>
          <w:b/>
          <w:sz w:val="21"/>
        </w:rPr>
        <w:t>Downward (Decreasing)</w:t>
      </w:r>
      <w:r>
        <w:rPr>
          <w:rFonts w:ascii="Arial" w:hAnsi="Arial" w:eastAsia="Arial"/>
          <w:b w:val="0"/>
          <w:sz w:val="21"/>
        </w:rPr>
        <w:t>. Health spending relative to the country's GDP steadily declined by about 0.64 percentage points.</w:t>
      </w:r>
    </w:p>
    <w:p>
      <w:pPr>
        <w:ind w:left="454"/>
        <w:jc w:val="both"/>
      </w:pPr>
    </w:p>
    <w:p>
      <w:pPr>
        <w:ind w:left="454"/>
        <w:jc w:val="both"/>
      </w:pPr>
      <w:r>
        <w:rPr>
          <w:rFonts w:ascii="Arial" w:hAnsi="Arial" w:eastAsia="Arial"/>
          <w:b w:val="0"/>
          <w:sz w:val="21"/>
        </w:rPr>
        <w:t>### Summary</w:t>
      </w:r>
    </w:p>
    <w:p>
      <w:pPr>
        <w:ind w:left="454"/>
        <w:jc w:val="both"/>
      </w:pPr>
      <w:r>
        <w:rPr>
          <w:rFonts w:ascii="Arial" w:hAnsi="Arial" w:eastAsia="Arial"/>
          <w:b w:val="0"/>
          <w:sz w:val="21"/>
        </w:rPr>
        <w:t xml:space="preserve">While Costa Rica's nominal health spending per person (World Bank) slightly increased, its overall health expenditure relative to the size of its economy (OECD) contracted, showing that the two indicators moved in </w:t>
      </w:r>
      <w:r>
        <w:rPr>
          <w:rFonts w:ascii="Arial" w:hAnsi="Arial" w:eastAsia="Arial"/>
          <w:b/>
          <w:sz w:val="21"/>
        </w:rPr>
        <w:t>opposite directions</w:t>
      </w:r>
      <w:r>
        <w:rPr>
          <w:rFonts w:ascii="Arial" w:hAnsi="Arial" w:eastAsia="Arial"/>
          <w:b w:val="0"/>
          <w:sz w:val="21"/>
        </w:rPr>
        <w:t xml:space="preserve"> between 2020 and 2022.</w:t>
      </w:r>
    </w:p>
    <w:p>
      <w:pPr>
        <w:jc w:val="center"/>
      </w:pPr>
      <w:r>
        <w:t>____________________________________________________________</w:t>
      </w:r>
    </w:p>
    <w:p>
      <w:pPr>
        <w:keepNext/>
        <w:spacing w:before="240"/>
        <w:jc w:val="left"/>
      </w:pPr>
      <w:r>
        <w:rPr>
          <w:rFonts w:ascii="Arial" w:hAnsi="Arial" w:eastAsia="Arial"/>
          <w:b/>
          <w:color w:val="1B4F72"/>
          <w:sz w:val="26"/>
        </w:rPr>
        <w:t>R07</w:t>
      </w:r>
    </w:p>
    <w:p>
      <w:pPr>
        <w:spacing w:after="120"/>
        <w:jc w:val="both"/>
      </w:pPr>
      <w:r>
        <w:rPr>
          <w:rFonts w:ascii="Arial" w:hAnsi="Arial" w:eastAsia="Arial"/>
          <w:b/>
          <w:sz w:val="22"/>
        </w:rPr>
        <w:t>Pregunta:</w:t>
      </w:r>
      <w:r>
        <w:rPr>
          <w:rFonts w:ascii="Arial" w:hAnsi="Arial" w:eastAsia="Arial"/>
          <w:b w:val="0"/>
          <w:sz w:val="22"/>
        </w:rPr>
        <w:t xml:space="preserve"> What was the main problem reported by users of the application during 2020–2022, and how does it relate to the trend in Costa Rica's out-of-pocket health expenditure as a share of current health expenditure over the same period?</w:t>
      </w:r>
    </w:p>
    <w:p>
      <w:pPr>
        <w:spacing w:after="120"/>
        <w:jc w:val="both"/>
      </w:pPr>
      <w:r>
        <w:rPr>
          <w:rFonts w:ascii="Arial" w:hAnsi="Arial" w:eastAsia="Arial"/>
          <w:b/>
          <w:sz w:val="22"/>
        </w:rPr>
        <w:t>Llamadas a herramientas (en el orden emitido):</w:t>
      </w:r>
    </w:p>
    <w:p>
      <w:pPr>
        <w:ind w:left="454" w:hanging="283"/>
        <w:jc w:val="left"/>
      </w:pPr>
      <w:r>
        <w:rPr>
          <w:rFonts w:ascii="Arial" w:hAnsi="Arial" w:eastAsia="Arial"/>
          <w:b w:val="0"/>
          <w:sz w:val="22"/>
        </w:rPr>
        <w:t xml:space="preserve">1. </w:t>
      </w:r>
      <w:r>
        <w:rPr>
          <w:rFonts w:ascii="Consolas" w:hAnsi="Consolas" w:eastAsia="Consolas"/>
          <w:sz w:val="18"/>
        </w:rPr>
        <w:t>query_local_reviews</w:t>
      </w:r>
      <w:r>
        <w:rPr>
          <w:rFonts w:ascii="Arial" w:hAnsi="Arial" w:eastAsia="Arial"/>
          <w:b w:val="0"/>
          <w:sz w:val="22"/>
        </w:rPr>
        <w:t xml:space="preserve"> — argumentos: </w:t>
      </w:r>
      <w:r>
        <w:rPr>
          <w:rFonts w:ascii="Consolas" w:hAnsi="Consolas" w:eastAsia="Consolas"/>
          <w:sz w:val="18"/>
        </w:rPr>
        <w:t>{"start_date": "2020-01-01", "end_date": "2022-12-31"}</w:t>
      </w:r>
    </w:p>
    <w:p>
      <w:pPr>
        <w:spacing w:after="120"/>
        <w:jc w:val="both"/>
      </w:pPr>
      <w:r>
        <w:rPr>
          <w:rFonts w:ascii="Arial" w:hAnsi="Arial" w:eastAsia="Arial"/>
          <w:b w:val="0"/>
          <w:sz w:val="22"/>
        </w:rPr>
        <w:t>Resultado: OK</w:t>
      </w:r>
    </w:p>
    <w:p>
      <w:pPr>
        <w:ind w:left="454"/>
        <w:jc w:val="left"/>
      </w:pPr>
      <w:r>
        <w:rPr>
          <w:rFonts w:ascii="Consolas" w:hAnsi="Consolas" w:eastAsia="Consolas"/>
          <w:sz w:val="18"/>
        </w:rPr>
        <w:t>{"source": "local_reviews", "date_range": {"start": "2020-01-01", "end": "2022-12-31"}, "total_reviews": 25190, "valid_reviews_for_analysis": 25190, "sentiment_distribution": {"NEG": 3930, "POS": 19657, "NEU": 1603}, "top_negative_keywords": [["citas", 1641], ["nunca", 1505], ["cita", 1196], ["sacar", 1181], ["mala", 395], ["sirve", 380], ["puede", 372], ["nada", 333], ["disponibles", 315], ["uno", 265], ["puedo", 256], ["dice", 234], ["información", 219], ["solo", 207], ["ebais", 207]], "sample_negative_reviews": ["La contraseña hay que cambiarla cada vez que uno ingresa.... Terrible.", "Muy mala solo he podido sacar como dos citas tal vez una estrella por que no se puede dar menos", "Nunca he podido utilizarla no me deja sacar una cita", "Tengo un mes de tratar sacar cita y hace todo el proceso y sl final al confirmar la cita aparece un error he tratado de conseguir ayuda 3 veces con el 905 pero nunca me han podido resolver ni orientar para poder hscerlo", "Tengo más de un mes de que no corre bien la app. Otros compañeros si pueden ver la información de su pensión y yo no puedo. Todo lo demás bien, pero en el tema de pensión FATAL 😡"], "negative_review_count": 3930, "topic_coverage": {"with_topic_assignment": 3930, "missing_topic_assignment_count": 0, "assigned_non_noise_count": 2627, "topic_noise_count": 1303, "excluded_assigned_review_count": 278, "substantive_problem_count": 2349, "substantive_coverage_pct": 59.771}, "problem_categories": [{"category": "ACCESO_CITAS", "count": 1507, "pct_of_substantive_problems": 64.155, "pct_of_negative_reviews": 38.3461}, {"category": "INFORMACION_CLINICA", "count": 300, "pct_of_substantive_problems": 12.7714, "pct_of_negative_reviews": 7.6336}, {"category": "AUTENTICACION_ACCESO", "count": 220, "pct_of_substantive_problems": 9.3657, "pct_of_negative_reviews": 5.598}, {"category": "RENDIMIENTO_APP", "count": 159, "pct_of_substantive_problems": 6.7688, "pct_of_negative_reviews": 4.0458}, {"category": "CALIDAD_ACTUALIZACION_INFO", "count": 69, "pct_of_substantive_problems": 2.9374, "pct_of_negative_reviews": 1.7557}, {"category": "INFORMACION_ADMINISTRATIVA", "count": 49, "pct_of_substantive_problems": 2.086, "pct_of_negative_reviews": 1.2468}, {"category": "REGISTRO_CUENTA", "count": 45, "pct_of_substantive_problems": 1.9157, "pct_of_negative_reviews": 1.145}], "main_problem": {"category": "ACCESO_CITAS", "count": 1507, "pct_of_substantive_problems": 64.155, "pct_of_negative_reviews": 38.3461}, "invalid_rating_count": 0, "invalid_rating_pct": 0.0}</w:t>
      </w:r>
    </w:p>
    <w:p>
      <w:pPr>
        <w:ind w:left="454" w:hanging="283"/>
        <w:jc w:val="left"/>
      </w:pPr>
      <w:r>
        <w:rPr>
          <w:rFonts w:ascii="Arial" w:hAnsi="Arial" w:eastAsia="Arial"/>
          <w:b w:val="0"/>
          <w:sz w:val="22"/>
        </w:rPr>
        <w:t xml:space="preserve">2. </w:t>
      </w:r>
      <w:r>
        <w:rPr>
          <w:rFonts w:ascii="Consolas" w:hAnsi="Consolas" w:eastAsia="Consolas"/>
          <w:sz w:val="18"/>
        </w:rPr>
        <w:t>get_worldbank_indicator</w:t>
      </w:r>
      <w:r>
        <w:rPr>
          <w:rFonts w:ascii="Arial" w:hAnsi="Arial" w:eastAsia="Arial"/>
          <w:b w:val="0"/>
          <w:sz w:val="22"/>
        </w:rPr>
        <w:t xml:space="preserve"> — argumentos: </w:t>
      </w:r>
      <w:r>
        <w:rPr>
          <w:rFonts w:ascii="Consolas" w:hAnsi="Consolas" w:eastAsia="Consolas"/>
          <w:sz w:val="18"/>
        </w:rPr>
        <w:t>{"country_iso3": "CRI", "indicator": "out_of_pocket_expenditure_pct_che", "start_year": 2020, "end_year": 2022}</w:t>
      </w:r>
    </w:p>
    <w:p>
      <w:pPr>
        <w:spacing w:after="120"/>
        <w:jc w:val="both"/>
      </w:pPr>
      <w:r>
        <w:rPr>
          <w:rFonts w:ascii="Arial" w:hAnsi="Arial" w:eastAsia="Arial"/>
          <w:b w:val="0"/>
          <w:sz w:val="22"/>
        </w:rPr>
        <w:t>Resultado: OK</w:t>
      </w:r>
    </w:p>
    <w:p>
      <w:pPr>
        <w:ind w:left="454"/>
        <w:jc w:val="left"/>
      </w:pPr>
      <w:r>
        <w:rPr>
          <w:rFonts w:ascii="Consolas" w:hAnsi="Consolas" w:eastAsia="Consolas"/>
          <w:sz w:val="18"/>
        </w:rPr>
        <w:t>{"source": "World Bank", "indicator_code": "SH.XPD.OOPC.CH.ZS", "indicator_name": "Out-of-pocket expenditure (% of current health expenditure)", "country_iso3": "CRI", "observations": [{"year": "2020", "value": 20.28676224}, {"year": "2021", "value": 20.51704597}, {"year": "2022", "value": 22.43504333}], "query_url": "https://api.worldbank.org/v2/country/CRI/indicator/SH.XPD.OOPC.CH.ZS?format=json&amp;per_page=1000&amp;date=2020%3A2022"}</w:t>
      </w:r>
    </w:p>
    <w:p>
      <w:pPr>
        <w:spacing w:after="120"/>
        <w:jc w:val="both"/>
      </w:pPr>
      <w:r>
        <w:rPr>
          <w:rFonts w:ascii="Arial" w:hAnsi="Arial" w:eastAsia="Arial"/>
          <w:b/>
          <w:sz w:val="22"/>
        </w:rPr>
        <w:t>Respuesta final del sistema:</w:t>
      </w:r>
    </w:p>
    <w:p>
      <w:pPr>
        <w:ind w:left="454"/>
        <w:jc w:val="both"/>
      </w:pPr>
      <w:r>
        <w:rPr>
          <w:rFonts w:ascii="Arial" w:hAnsi="Arial" w:eastAsia="Arial"/>
          <w:b w:val="0"/>
          <w:sz w:val="21"/>
        </w:rPr>
        <w:t>During the period from 2020 to 2022, the main problem reported by users of the digital health application was related to "ACCESO_CITAS" (appointment access), which accounted for 64.16% of substantive problem reports and 38.35% of all negative reviews. Users frequently mentioned issues with booking appointments, as reflected in the top negative keywords such as "citas" (appointments) and "sacar" (to book).</w:t>
      </w:r>
    </w:p>
    <w:p>
      <w:pPr>
        <w:ind w:left="454"/>
        <w:jc w:val="both"/>
      </w:pPr>
    </w:p>
    <w:p>
      <w:pPr>
        <w:ind w:left="454"/>
        <w:jc w:val="both"/>
      </w:pPr>
      <w:r>
        <w:rPr>
          <w:rFonts w:ascii="Arial" w:hAnsi="Arial" w:eastAsia="Arial"/>
          <w:b w:val="0"/>
          <w:sz w:val="21"/>
        </w:rPr>
        <w:t>In the same period, Costa Rica's out-of-pocket health expenditure as a share of current health expenditure showed an increasing trend. According to World Bank data, the values were 20.29% in 2020, 20.52% in 2021, and 22.44% in 2022.</w:t>
      </w:r>
    </w:p>
    <w:p>
      <w:pPr>
        <w:ind w:left="454"/>
        <w:jc w:val="both"/>
      </w:pPr>
    </w:p>
    <w:p>
      <w:pPr>
        <w:ind w:left="454"/>
        <w:jc w:val="both"/>
      </w:pPr>
      <w:r>
        <w:rPr>
          <w:rFonts w:ascii="Arial" w:hAnsi="Arial" w:eastAsia="Arial"/>
          <w:b w:val="0"/>
          <w:sz w:val="21"/>
        </w:rPr>
        <w:t>The increase in out-of-pocket expenditure might suggest that users were facing financial barriers or challenges in accessing healthcare services, which could be related to the difficulties in booking appointments through the application. This correlation indicates that as out-of-pocket expenses rose, users might have experienced more frustration with accessing healthcare services, as reflected in their negative reviews about appointment access.</w:t>
      </w:r>
    </w:p>
    <w:p>
      <w:pPr>
        <w:jc w:val="center"/>
      </w:pPr>
      <w:r>
        <w:t>____________________________________________________________</w:t>
      </w:r>
    </w:p>
    <w:p>
      <w:pPr>
        <w:keepNext/>
        <w:spacing w:before="240"/>
        <w:jc w:val="left"/>
      </w:pPr>
      <w:r>
        <w:rPr>
          <w:rFonts w:ascii="Arial" w:hAnsi="Arial" w:eastAsia="Arial"/>
          <w:b/>
          <w:color w:val="1B4F72"/>
          <w:sz w:val="26"/>
        </w:rPr>
        <w:t>R08</w:t>
      </w:r>
    </w:p>
    <w:p>
      <w:pPr>
        <w:spacing w:after="120"/>
        <w:jc w:val="both"/>
      </w:pPr>
      <w:r>
        <w:rPr>
          <w:rFonts w:ascii="Arial" w:hAnsi="Arial" w:eastAsia="Arial"/>
          <w:b/>
          <w:sz w:val="22"/>
        </w:rPr>
        <w:t>Pregunta:</w:t>
      </w:r>
      <w:r>
        <w:rPr>
          <w:rFonts w:ascii="Arial" w:hAnsi="Arial" w:eastAsia="Arial"/>
          <w:b w:val="0"/>
          <w:sz w:val="22"/>
        </w:rPr>
        <w:t xml:space="preserve"> What was the main problem reported by users of the application during 2018–2020, and did the World Bank external health expenditure share diverge from the OECD health expenditure as a percentage of GDP trend over the same period?</w:t>
      </w:r>
    </w:p>
    <w:p>
      <w:pPr>
        <w:spacing w:after="120"/>
        <w:jc w:val="both"/>
      </w:pPr>
      <w:r>
        <w:rPr>
          <w:rFonts w:ascii="Arial" w:hAnsi="Arial" w:eastAsia="Arial"/>
          <w:b/>
          <w:sz w:val="22"/>
        </w:rPr>
        <w:t>Llamadas a herramientas (en el orden emitido):</w:t>
      </w:r>
    </w:p>
    <w:p>
      <w:pPr>
        <w:ind w:left="454" w:hanging="283"/>
        <w:jc w:val="left"/>
      </w:pPr>
      <w:r>
        <w:rPr>
          <w:rFonts w:ascii="Arial" w:hAnsi="Arial" w:eastAsia="Arial"/>
          <w:b w:val="0"/>
          <w:sz w:val="22"/>
        </w:rPr>
        <w:t xml:space="preserve">1. </w:t>
      </w:r>
      <w:r>
        <w:rPr>
          <w:rFonts w:ascii="Consolas" w:hAnsi="Consolas" w:eastAsia="Consolas"/>
          <w:sz w:val="18"/>
        </w:rPr>
        <w:t>query_local_reviews</w:t>
      </w:r>
      <w:r>
        <w:rPr>
          <w:rFonts w:ascii="Arial" w:hAnsi="Arial" w:eastAsia="Arial"/>
          <w:b w:val="0"/>
          <w:sz w:val="22"/>
        </w:rPr>
        <w:t xml:space="preserve"> — argumentos: </w:t>
      </w:r>
      <w:r>
        <w:rPr>
          <w:rFonts w:ascii="Consolas" w:hAnsi="Consolas" w:eastAsia="Consolas"/>
          <w:sz w:val="18"/>
        </w:rPr>
        <w:t>{"end_date": "2020-12-31", "start_date": "2018-01-01"}</w:t>
      </w:r>
    </w:p>
    <w:p>
      <w:pPr>
        <w:spacing w:after="120"/>
        <w:jc w:val="both"/>
      </w:pPr>
      <w:r>
        <w:rPr>
          <w:rFonts w:ascii="Arial" w:hAnsi="Arial" w:eastAsia="Arial"/>
          <w:b w:val="0"/>
          <w:sz w:val="22"/>
        </w:rPr>
        <w:t>Resultado: OK</w:t>
      </w:r>
    </w:p>
    <w:p>
      <w:pPr>
        <w:ind w:left="454"/>
        <w:jc w:val="left"/>
      </w:pPr>
      <w:r>
        <w:rPr>
          <w:rFonts w:ascii="Consolas" w:hAnsi="Consolas" w:eastAsia="Consolas"/>
          <w:sz w:val="18"/>
        </w:rPr>
        <w:t>{"source": "local_reviews", "date_range": {"start": "2018-01-01", "end": "2020-12-31"}, "total_reviews": 16486, "valid_reviews_for_analysis": 16486, "sentiment_distribution": {"POS": 12240, "NEU": 1133, "NEG": 3113}, "top_negative_keywords": [["nunca", 1363], ["citas", 1336], ["cita", 1037], ["sacar", 974], ["mala", 298], ["disponibles", 290], ["sirve", 286], ["puede", 286], ["puedo", 274], ["nada", 261], ["ebais", 189], ["siempre", 184], ["dice", 184], ["uno", 181], ["tengo", 170]], "sample_negative_reviews": ["No puedo sacar una cita ¿cómo esperan que obtenga una cita médica en el mismo día que voy a sacarla? No me dan otros días para sacar una cita, deben arreglar el problema, ni la página sirve ambas cosas son muy malas.", "Los resultados no aparecen actualizados", "No me han llamado aun siendo alto riezgo, me dan menos medicamentos, eso me hace trastorno y citas virtuales ineficientes", "Nunca se puede sacar citas", "Pésimo"], "negative_review_count": 3113, "topic_coverage": {"with_topic_assignment": 3113, "missing_topic_assignment_count": 0, "assigned_non_noise_count": 2070, "topic_noise_count": 1043, "excluded_assigned_review_count": 210, "substantive_problem_count": 1860, "substantive_coverage_pct": 59.7494}, "problem_categories": [{"category": "ACCESO_CITAS", "count": 1303, "pct_of_substantive_problems": 70.0538, "pct_of_negative_reviews": 41.8567}, {"category": "INFORMACION_CLINICA", "count": 183, "pct_of_substantive_problems": 9.8387, "pct_of_negative_reviews": 5.8786}, {"category": "AUTENTICACION_ACCESO", "count": 158, "pct_of_substantive_problems": 8.4946, "pct_of_negative_reviews": 5.0755}, {"category": "RENDIMIENTO_APP", "count": 110, "pct_of_substantive_problems": 5.914, "pct_of_negative_reviews": 3.5336}, {"category": "REGISTRO_CUENTA", "count": 65, "pct_of_substantive_problems": 3.4946, "pct_of_negative_reviews": 2.088}, {"category": "CALIDAD_ACTUALIZACION_INFO", "count": 28, "pct_of_substantive_problems": 1.5054, "pct_of_negative_reviews": 0.8995}, {"category": "INFORMACION_ADMINISTRATIVA", "count": 13, "pct_of_substantive_problems": 0.6989, "pct_of_negative_reviews": 0.4176}], "main_problem": {"category": "ACCESO_CITAS", "count": 1303, "pct_of_substantive_problems": 70.0538, "pct_of_negative_reviews": 41.8567}, "invalid_rating_count": 0, "invalid_rating_pct": 0.0}</w:t>
      </w:r>
    </w:p>
    <w:p>
      <w:pPr>
        <w:ind w:left="454" w:hanging="283"/>
        <w:jc w:val="left"/>
      </w:pPr>
      <w:r>
        <w:rPr>
          <w:rFonts w:ascii="Arial" w:hAnsi="Arial" w:eastAsia="Arial"/>
          <w:b w:val="0"/>
          <w:sz w:val="22"/>
        </w:rPr>
        <w:t xml:space="preserve">2. </w:t>
      </w:r>
      <w:r>
        <w:rPr>
          <w:rFonts w:ascii="Consolas" w:hAnsi="Consolas" w:eastAsia="Consolas"/>
          <w:sz w:val="18"/>
        </w:rPr>
        <w:t>get_worldbank_indicator</w:t>
      </w:r>
      <w:r>
        <w:rPr>
          <w:rFonts w:ascii="Arial" w:hAnsi="Arial" w:eastAsia="Arial"/>
          <w:b w:val="0"/>
          <w:sz w:val="22"/>
        </w:rPr>
        <w:t xml:space="preserve"> — argumentos: </w:t>
      </w:r>
      <w:r>
        <w:rPr>
          <w:rFonts w:ascii="Consolas" w:hAnsi="Consolas" w:eastAsia="Consolas"/>
          <w:sz w:val="18"/>
        </w:rPr>
        <w:t>{"end_year": 2020, "start_year": 2018, "country_iso3": "CRI", "indicator": "external_health_expenditure_pct_che"}</w:t>
      </w:r>
    </w:p>
    <w:p>
      <w:pPr>
        <w:spacing w:after="120"/>
        <w:jc w:val="both"/>
      </w:pPr>
      <w:r>
        <w:rPr>
          <w:rFonts w:ascii="Arial" w:hAnsi="Arial" w:eastAsia="Arial"/>
          <w:b w:val="0"/>
          <w:sz w:val="22"/>
        </w:rPr>
        <w:t>Resultado: OK</w:t>
      </w:r>
    </w:p>
    <w:p>
      <w:pPr>
        <w:ind w:left="454"/>
        <w:jc w:val="left"/>
      </w:pPr>
      <w:r>
        <w:rPr>
          <w:rFonts w:ascii="Consolas" w:hAnsi="Consolas" w:eastAsia="Consolas"/>
          <w:sz w:val="18"/>
        </w:rPr>
        <w:t>{"source": "World Bank", "indicator_code": "SH.XPD.EHEX.CH.ZS", "indicator_name": "External health expenditure (% of current health expenditure)", "country_iso3": "CRI", "observations": [{"year": "2018", "value": 0.0062117}, {"year": "2019", "value": 0.00104268}, {"year": "2020", "value": 0.13579112}], "query_url": "https://api.worldbank.org/v2/country/CRI/indicator/SH.XPD.EHEX.CH.ZS?format=json&amp;per_page=1000&amp;date=2018%3A2020"}</w:t>
      </w:r>
    </w:p>
    <w:p>
      <w:pPr>
        <w:ind w:left="454" w:hanging="283"/>
        <w:jc w:val="left"/>
      </w:pPr>
      <w:r>
        <w:rPr>
          <w:rFonts w:ascii="Arial" w:hAnsi="Arial" w:eastAsia="Arial"/>
          <w:b w:val="0"/>
          <w:sz w:val="22"/>
        </w:rPr>
        <w:t xml:space="preserve">3. </w:t>
      </w:r>
      <w:r>
        <w:rPr>
          <w:rFonts w:ascii="Consolas" w:hAnsi="Consolas" w:eastAsia="Consolas"/>
          <w:sz w:val="18"/>
        </w:rPr>
        <w:t>get_oecd_indicator</w:t>
      </w:r>
      <w:r>
        <w:rPr>
          <w:rFonts w:ascii="Arial" w:hAnsi="Arial" w:eastAsia="Arial"/>
          <w:b w:val="0"/>
          <w:sz w:val="22"/>
        </w:rPr>
        <w:t xml:space="preserve"> — argumentos: </w:t>
      </w:r>
      <w:r>
        <w:rPr>
          <w:rFonts w:ascii="Consolas" w:hAnsi="Consolas" w:eastAsia="Consolas"/>
          <w:sz w:val="18"/>
        </w:rPr>
        <w:t>{"start_period": "2018", "country_iso3": "CRI", "indicator": "health_expenditure_pct_gdp"}</w:t>
      </w:r>
    </w:p>
    <w:p>
      <w:pPr>
        <w:spacing w:after="120"/>
        <w:jc w:val="both"/>
      </w:pPr>
      <w:r>
        <w:rPr>
          <w:rFonts w:ascii="Arial" w:hAnsi="Arial" w:eastAsia="Arial"/>
          <w:b w:val="0"/>
          <w:sz w:val="22"/>
        </w:rPr>
        <w:t>Resultado: OK</w:t>
      </w:r>
    </w:p>
    <w:p>
      <w:pPr>
        <w:ind w:left="454"/>
        <w:jc w:val="left"/>
      </w:pPr>
      <w:r>
        <w:rPr>
          <w:rFonts w:ascii="Consolas" w:hAnsi="Consolas" w:eastAsia="Consolas"/>
          <w:sz w:val="18"/>
        </w:rPr>
        <w:t>{"source": "OECD", "dataflow": "OECD.ELS.HD,DSD_SHA@DF_SHA,", "key": "CRI.A.EXP_HEALTH.PT_B1GQ._T._Z._T._T._T._Z._Z._Z", "country_iso3": "CRI", "observations": [{"year": "2018", "value": 7.286}, {"year": "2019", "value": 7.221}, {"year": "2020", "value": 7.825}, {"year": "2021", "value": 7.611}, {"year": "2022", "value": 7.184}, {"year": "2023", "value": 6.866}, {"year": "2024", "value": 6.91}, {"year": "2025", "value": 6.776}], "query_url": "https://sdmx.oecd.org/public/rest/data/OECD.ELS.HD,DSD_SHA@DF_SHA,/CRI.A.EXP_HEALTH.PT_B1GQ._T._Z._T._T._T._Z._Z._Z?startPeriod=2018", "response_meta": {"schema": "https://raw.githubusercontent.com/sdmx-twg/sdmx-json/master/data-message/tools/schemas/2.0.0/sdmx-json-data-schema.json", "id": "IREF001297", "prepared": "2026-09-07T03:01:58Z", "test": false, "contentLanguages": ["en", "en-US"], "sender": {"id": "Disseminate_Final_DMZ", "name": "unknown", "names": {"en-US": "unknown"}}}}</w:t>
      </w:r>
    </w:p>
    <w:p>
      <w:pPr>
        <w:spacing w:after="120"/>
        <w:jc w:val="both"/>
      </w:pPr>
      <w:r>
        <w:rPr>
          <w:rFonts w:ascii="Arial" w:hAnsi="Arial" w:eastAsia="Arial"/>
          <w:b/>
          <w:sz w:val="22"/>
        </w:rPr>
        <w:t>Respuesta final del sistema:</w:t>
      </w:r>
    </w:p>
    <w:p>
      <w:pPr>
        <w:ind w:left="454"/>
        <w:jc w:val="both"/>
      </w:pPr>
      <w:r>
        <w:rPr>
          <w:rFonts w:ascii="Arial" w:hAnsi="Arial" w:eastAsia="Arial"/>
          <w:b w:val="0"/>
          <w:sz w:val="21"/>
        </w:rPr>
        <w:t xml:space="preserve">Based on the analysis of the local user reviews and institutional health data for Costa Rica (CRI), here are the findings for the period </w:t>
      </w:r>
      <w:r>
        <w:rPr>
          <w:rFonts w:ascii="Arial" w:hAnsi="Arial" w:eastAsia="Arial"/>
          <w:b/>
          <w:sz w:val="21"/>
        </w:rPr>
        <w:t>2018–2020</w:t>
      </w:r>
      <w:r>
        <w:rPr>
          <w:rFonts w:ascii="Arial" w:hAnsi="Arial" w:eastAsia="Arial"/>
          <w:b w:val="0"/>
          <w:sz w:val="21"/>
        </w:rPr>
        <w:t>:</w:t>
      </w:r>
    </w:p>
    <w:p>
      <w:pPr>
        <w:ind w:left="454"/>
        <w:jc w:val="both"/>
      </w:pPr>
    </w:p>
    <w:p>
      <w:pPr>
        <w:ind w:left="454"/>
        <w:jc w:val="both"/>
      </w:pPr>
      <w:r>
        <w:rPr>
          <w:rFonts w:ascii="Arial" w:hAnsi="Arial" w:eastAsia="Arial"/>
          <w:b w:val="0"/>
          <w:sz w:val="21"/>
        </w:rPr>
        <w:t>---</w:t>
      </w:r>
    </w:p>
    <w:p>
      <w:pPr>
        <w:ind w:left="454"/>
        <w:jc w:val="both"/>
      </w:pPr>
    </w:p>
    <w:p>
      <w:pPr>
        <w:ind w:left="454"/>
        <w:jc w:val="both"/>
      </w:pPr>
      <w:r>
        <w:rPr>
          <w:rFonts w:ascii="Arial" w:hAnsi="Arial" w:eastAsia="Arial"/>
          <w:b w:val="0"/>
          <w:sz w:val="21"/>
        </w:rPr>
        <w:t>### 1. Main Problem Reported by Users (2018–2020)</w:t>
      </w:r>
    </w:p>
    <w:p>
      <w:pPr>
        <w:ind w:left="454"/>
        <w:jc w:val="both"/>
      </w:pPr>
    </w:p>
    <w:p>
      <w:pPr>
        <w:ind w:left="454"/>
        <w:jc w:val="both"/>
      </w:pPr>
      <w:r>
        <w:rPr>
          <w:rFonts w:ascii="Arial" w:hAnsi="Arial" w:eastAsia="Arial"/>
          <w:b w:val="0"/>
          <w:sz w:val="21"/>
        </w:rPr>
        <w:t>During the 2018–2020 period, the application received a total of 16,486 reviews (12,240 positive, 1,133 neutral, and 3,113 negative).</w:t>
      </w:r>
    </w:p>
    <w:p>
      <w:pPr>
        <w:ind w:left="454"/>
        <w:jc w:val="both"/>
      </w:pPr>
    </w:p>
    <w:p>
      <w:pPr>
        <w:ind w:left="454"/>
        <w:jc w:val="both"/>
      </w:pPr>
      <w:r>
        <w:rPr>
          <w:rFonts w:ascii="Arial" w:hAnsi="Arial" w:eastAsia="Arial"/>
          <w:b w:val="0"/>
          <w:sz w:val="21"/>
        </w:rPr>
        <w:t xml:space="preserve">The principal substantive problem reported by users was </w:t>
      </w:r>
      <w:r>
        <w:rPr>
          <w:rFonts w:ascii="Arial" w:hAnsi="Arial" w:eastAsia="Arial"/>
          <w:b/>
          <w:sz w:val="21"/>
        </w:rPr>
        <w:t>Access to Appointments</w:t>
      </w:r>
      <w:r>
        <w:rPr>
          <w:rFonts w:ascii="Arial" w:hAnsi="Arial" w:eastAsia="Arial"/>
          <w:b w:val="0"/>
          <w:sz w:val="21"/>
        </w:rPr>
        <w:t xml:space="preserve"> (</w:t>
      </w:r>
      <w:r>
        <w:rPr>
          <w:rFonts w:ascii="Consolas" w:hAnsi="Consolas" w:eastAsia="Consolas"/>
          <w:sz w:val="17"/>
        </w:rPr>
        <w:t>ACCESO_CITAS</w:t>
      </w:r>
      <w:r>
        <w:rPr>
          <w:rFonts w:ascii="Arial" w:hAnsi="Arial" w:eastAsia="Arial"/>
          <w:b w:val="0"/>
          <w:sz w:val="21"/>
        </w:rPr>
        <w:t>):</w:t>
      </w:r>
    </w:p>
    <w:p>
      <w:pPr>
        <w:ind w:left="454"/>
        <w:jc w:val="both"/>
      </w:pPr>
      <w:r>
        <w:rPr>
          <w:rFonts w:ascii="Arial" w:hAnsi="Arial" w:eastAsia="Arial"/>
          <w:b w:val="0"/>
          <w:sz w:val="21"/>
        </w:rPr>
        <w:t xml:space="preserve">* </w:t>
      </w:r>
      <w:r>
        <w:rPr>
          <w:rFonts w:ascii="Arial" w:hAnsi="Arial" w:eastAsia="Arial"/>
          <w:b/>
          <w:sz w:val="21"/>
        </w:rPr>
        <w:t>Volume:</w:t>
      </w:r>
      <w:r>
        <w:rPr>
          <w:rFonts w:ascii="Arial" w:hAnsi="Arial" w:eastAsia="Arial"/>
          <w:b w:val="0"/>
          <w:sz w:val="21"/>
        </w:rPr>
        <w:t xml:space="preserve"> </w:t>
      </w:r>
      <w:r>
        <w:rPr>
          <w:rFonts w:ascii="Arial" w:hAnsi="Arial" w:eastAsia="Arial"/>
          <w:b/>
          <w:sz w:val="21"/>
        </w:rPr>
        <w:t>1,303 negative reviews</w:t>
      </w:r>
      <w:r>
        <w:rPr>
          <w:rFonts w:ascii="Arial" w:hAnsi="Arial" w:eastAsia="Arial"/>
          <w:b w:val="0"/>
          <w:sz w:val="21"/>
        </w:rPr>
        <w:t xml:space="preserve"> were explicitly categorized under this problem.</w:t>
      </w:r>
    </w:p>
    <w:p>
      <w:pPr>
        <w:ind w:left="454"/>
        <w:jc w:val="both"/>
      </w:pPr>
      <w:r>
        <w:rPr>
          <w:rFonts w:ascii="Arial" w:hAnsi="Arial" w:eastAsia="Arial"/>
          <w:b w:val="0"/>
          <w:sz w:val="21"/>
        </w:rPr>
        <w:t xml:space="preserve">* </w:t>
      </w:r>
      <w:r>
        <w:rPr>
          <w:rFonts w:ascii="Arial" w:hAnsi="Arial" w:eastAsia="Arial"/>
          <w:b/>
          <w:sz w:val="21"/>
        </w:rPr>
        <w:t>Impact:</w:t>
      </w:r>
      <w:r>
        <w:rPr>
          <w:rFonts w:ascii="Arial" w:hAnsi="Arial" w:eastAsia="Arial"/>
          <w:b w:val="0"/>
          <w:sz w:val="21"/>
        </w:rPr>
        <w:t xml:space="preserve"> This category accounted for </w:t>
      </w:r>
      <w:r>
        <w:rPr>
          <w:rFonts w:ascii="Arial" w:hAnsi="Arial" w:eastAsia="Arial"/>
          <w:b/>
          <w:sz w:val="21"/>
        </w:rPr>
        <w:t>41.86% of all negative reviews</w:t>
      </w:r>
      <w:r>
        <w:rPr>
          <w:rFonts w:ascii="Arial" w:hAnsi="Arial" w:eastAsia="Arial"/>
          <w:b w:val="0"/>
          <w:sz w:val="21"/>
        </w:rPr>
        <w:t xml:space="preserve"> and </w:t>
      </w:r>
      <w:r>
        <w:rPr>
          <w:rFonts w:ascii="Arial" w:hAnsi="Arial" w:eastAsia="Arial"/>
          <w:b/>
          <w:sz w:val="21"/>
        </w:rPr>
        <w:t>70.05% of all classified substantive problems</w:t>
      </w:r>
      <w:r>
        <w:rPr>
          <w:rFonts w:ascii="Arial" w:hAnsi="Arial" w:eastAsia="Arial"/>
          <w:b w:val="0"/>
          <w:sz w:val="21"/>
        </w:rPr>
        <w:t xml:space="preserve"> (excluding noise and generic dissatisfaction).</w:t>
      </w:r>
    </w:p>
    <w:p>
      <w:pPr>
        <w:ind w:left="454"/>
        <w:jc w:val="both"/>
      </w:pPr>
      <w:r>
        <w:rPr>
          <w:rFonts w:ascii="Arial" w:hAnsi="Arial" w:eastAsia="Arial"/>
          <w:b w:val="0"/>
          <w:sz w:val="21"/>
        </w:rPr>
        <w:t xml:space="preserve">* </w:t>
      </w:r>
      <w:r>
        <w:rPr>
          <w:rFonts w:ascii="Arial" w:hAnsi="Arial" w:eastAsia="Arial"/>
          <w:b/>
          <w:sz w:val="21"/>
        </w:rPr>
        <w:t>User Feedback:</w:t>
      </w:r>
      <w:r>
        <w:rPr>
          <w:rFonts w:ascii="Arial" w:hAnsi="Arial" w:eastAsia="Arial"/>
          <w:b w:val="0"/>
          <w:sz w:val="21"/>
        </w:rPr>
        <w:t xml:space="preserve"> Lexical frequency evidence shows that terms like *"nunca"* (never), *"citas"* / *"cita"* (appointments), and *"sacar"* (to get/obtain) were highly frequent. Users frequently complained about the inability to secure medical appointments through the application, system failures when trying to book, and lack of available slots at their local primary care clinics (referred to as *"ebais"* in Costa Rica).</w:t>
      </w:r>
    </w:p>
    <w:p>
      <w:pPr>
        <w:ind w:left="454"/>
        <w:jc w:val="both"/>
      </w:pPr>
    </w:p>
    <w:p>
      <w:pPr>
        <w:ind w:left="454"/>
        <w:jc w:val="both"/>
      </w:pPr>
      <w:r>
        <w:rPr>
          <w:rFonts w:ascii="Arial" w:hAnsi="Arial" w:eastAsia="Arial"/>
          <w:b w:val="0"/>
          <w:sz w:val="21"/>
        </w:rPr>
        <w:t>---</w:t>
      </w:r>
    </w:p>
    <w:p>
      <w:pPr>
        <w:ind w:left="454"/>
        <w:jc w:val="both"/>
      </w:pPr>
    </w:p>
    <w:p>
      <w:pPr>
        <w:ind w:left="454"/>
        <w:jc w:val="both"/>
      </w:pPr>
      <w:r>
        <w:rPr>
          <w:rFonts w:ascii="Arial" w:hAnsi="Arial" w:eastAsia="Arial"/>
          <w:b w:val="0"/>
          <w:sz w:val="21"/>
        </w:rPr>
        <w:t>### 2. Comparison of World Bank and OECD Health Expenditure Trends (2018–2020)</w:t>
      </w:r>
    </w:p>
    <w:p>
      <w:pPr>
        <w:ind w:left="454"/>
        <w:jc w:val="both"/>
      </w:pPr>
    </w:p>
    <w:p>
      <w:pPr>
        <w:ind w:left="454"/>
        <w:jc w:val="both"/>
      </w:pPr>
      <w:r>
        <w:rPr>
          <w:rFonts w:ascii="Arial" w:hAnsi="Arial" w:eastAsia="Arial"/>
          <w:b w:val="0"/>
          <w:sz w:val="21"/>
        </w:rPr>
        <w:t>To determine if the trends diverged, we analyze the World Bank's external health expenditure share alongside the OECD's health expenditure as a percentage of GDP for Costa Rica:</w:t>
      </w:r>
    </w:p>
    <w:p>
      <w:pPr>
        <w:ind w:left="454"/>
        <w:jc w:val="both"/>
      </w:pPr>
    </w:p>
    <w:p>
      <w:pPr>
        <w:ind w:left="454"/>
        <w:jc w:val="both"/>
      </w:pPr>
      <w:r>
        <w:rPr>
          <w:rFonts w:ascii="Arial" w:hAnsi="Arial" w:eastAsia="Arial"/>
          <w:b w:val="0"/>
          <w:sz w:val="21"/>
        </w:rPr>
        <w:t>| Year | World Bank: External Health Expenditure (% of Current Health Expenditure) | OECD: Health Expenditure (% of GDP) |</w:t>
      </w:r>
    </w:p>
    <w:p>
      <w:pPr>
        <w:ind w:left="454"/>
        <w:jc w:val="both"/>
      </w:pPr>
      <w:r>
        <w:rPr>
          <w:rFonts w:ascii="Arial" w:hAnsi="Arial" w:eastAsia="Arial"/>
          <w:b w:val="0"/>
          <w:sz w:val="21"/>
        </w:rPr>
        <w:t>| :--- | :---: | :---: |</w:t>
      </w:r>
    </w:p>
    <w:p>
      <w:pPr>
        <w:ind w:left="454"/>
        <w:jc w:val="both"/>
      </w:pPr>
      <w:r>
        <w:rPr>
          <w:rFonts w:ascii="Arial" w:hAnsi="Arial" w:eastAsia="Arial"/>
          <w:b w:val="0"/>
          <w:sz w:val="21"/>
        </w:rPr>
        <w:t xml:space="preserve">| </w:t>
      </w:r>
      <w:r>
        <w:rPr>
          <w:rFonts w:ascii="Arial" w:hAnsi="Arial" w:eastAsia="Arial"/>
          <w:b/>
          <w:sz w:val="21"/>
        </w:rPr>
        <w:t>2018</w:t>
      </w:r>
      <w:r>
        <w:rPr>
          <w:rFonts w:ascii="Arial" w:hAnsi="Arial" w:eastAsia="Arial"/>
          <w:b w:val="0"/>
          <w:sz w:val="21"/>
        </w:rPr>
        <w:t xml:space="preserve"> | 0.0062% | 7.286% |</w:t>
      </w:r>
    </w:p>
    <w:p>
      <w:pPr>
        <w:ind w:left="454"/>
        <w:jc w:val="both"/>
      </w:pPr>
      <w:r>
        <w:rPr>
          <w:rFonts w:ascii="Arial" w:hAnsi="Arial" w:eastAsia="Arial"/>
          <w:b w:val="0"/>
          <w:sz w:val="21"/>
        </w:rPr>
        <w:t xml:space="preserve">| </w:t>
      </w:r>
      <w:r>
        <w:rPr>
          <w:rFonts w:ascii="Arial" w:hAnsi="Arial" w:eastAsia="Arial"/>
          <w:b/>
          <w:sz w:val="21"/>
        </w:rPr>
        <w:t>2019</w:t>
      </w:r>
      <w:r>
        <w:rPr>
          <w:rFonts w:ascii="Arial" w:hAnsi="Arial" w:eastAsia="Arial"/>
          <w:b w:val="0"/>
          <w:sz w:val="21"/>
        </w:rPr>
        <w:t xml:space="preserve"> | 0.0010% | 7.221% |</w:t>
      </w:r>
    </w:p>
    <w:p>
      <w:pPr>
        <w:ind w:left="454"/>
        <w:jc w:val="both"/>
      </w:pPr>
      <w:r>
        <w:rPr>
          <w:rFonts w:ascii="Arial" w:hAnsi="Arial" w:eastAsia="Arial"/>
          <w:b w:val="0"/>
          <w:sz w:val="21"/>
        </w:rPr>
        <w:t xml:space="preserve">| </w:t>
      </w:r>
      <w:r>
        <w:rPr>
          <w:rFonts w:ascii="Arial" w:hAnsi="Arial" w:eastAsia="Arial"/>
          <w:b/>
          <w:sz w:val="21"/>
        </w:rPr>
        <w:t>2020</w:t>
      </w:r>
      <w:r>
        <w:rPr>
          <w:rFonts w:ascii="Arial" w:hAnsi="Arial" w:eastAsia="Arial"/>
          <w:b w:val="0"/>
          <w:sz w:val="21"/>
        </w:rPr>
        <w:t xml:space="preserve"> | 0.1358% | 7.825% |</w:t>
      </w:r>
    </w:p>
    <w:p>
      <w:pPr>
        <w:ind w:left="454"/>
        <w:jc w:val="both"/>
      </w:pPr>
    </w:p>
    <w:p>
      <w:pPr>
        <w:ind w:left="454"/>
        <w:jc w:val="both"/>
      </w:pPr>
      <w:r>
        <w:rPr>
          <w:rFonts w:ascii="Arial" w:hAnsi="Arial" w:eastAsia="Arial"/>
          <w:b w:val="0"/>
          <w:sz w:val="21"/>
        </w:rPr>
        <w:t xml:space="preserve">#### </w:t>
      </w:r>
      <w:r>
        <w:rPr>
          <w:rFonts w:ascii="Arial" w:hAnsi="Arial" w:eastAsia="Arial"/>
          <w:b/>
          <w:sz w:val="21"/>
        </w:rPr>
        <w:t>Trend Analysis &amp; Divergence:</w:t>
      </w:r>
    </w:p>
    <w:p>
      <w:pPr>
        <w:ind w:left="454"/>
        <w:jc w:val="both"/>
      </w:pPr>
      <w:r>
        <w:rPr>
          <w:rFonts w:ascii="Arial" w:hAnsi="Arial" w:eastAsia="Arial"/>
          <w:b w:val="0"/>
          <w:sz w:val="21"/>
        </w:rPr>
        <w:t xml:space="preserve">* </w:t>
      </w:r>
      <w:r>
        <w:rPr>
          <w:rFonts w:ascii="Arial" w:hAnsi="Arial" w:eastAsia="Arial"/>
          <w:b/>
          <w:sz w:val="21"/>
        </w:rPr>
        <w:t>Did they diverge?</w:t>
      </w:r>
      <w:r>
        <w:rPr>
          <w:rFonts w:ascii="Arial" w:hAnsi="Arial" w:eastAsia="Arial"/>
          <w:b w:val="0"/>
          <w:sz w:val="21"/>
        </w:rPr>
        <w:t xml:space="preserve"> </w:t>
      </w:r>
      <w:r>
        <w:rPr>
          <w:rFonts w:ascii="Arial" w:hAnsi="Arial" w:eastAsia="Arial"/>
          <w:b/>
          <w:sz w:val="21"/>
        </w:rPr>
        <w:t>No, they did not diverge in direction.</w:t>
      </w:r>
      <w:r>
        <w:rPr>
          <w:rFonts w:ascii="Arial" w:hAnsi="Arial" w:eastAsia="Arial"/>
          <w:b w:val="0"/>
          <w:sz w:val="21"/>
        </w:rPr>
        <w:t xml:space="preserve"> Both indicators followed the exact same directional trend over this period:</w:t>
      </w:r>
    </w:p>
    <w:p>
      <w:pPr>
        <w:ind w:left="454"/>
        <w:jc w:val="both"/>
      </w:pPr>
      <w:r>
        <w:rPr>
          <w:rFonts w:ascii="Arial" w:hAnsi="Arial" w:eastAsia="Arial"/>
          <w:b w:val="0"/>
          <w:sz w:val="21"/>
        </w:rPr>
        <w:t xml:space="preserve">1. </w:t>
      </w:r>
      <w:r>
        <w:rPr>
          <w:rFonts w:ascii="Arial" w:hAnsi="Arial" w:eastAsia="Arial"/>
          <w:b/>
          <w:sz w:val="21"/>
        </w:rPr>
        <w:t>2018 to 2019:</w:t>
      </w:r>
      <w:r>
        <w:rPr>
          <w:rFonts w:ascii="Arial" w:hAnsi="Arial" w:eastAsia="Arial"/>
          <w:b w:val="0"/>
          <w:sz w:val="21"/>
        </w:rPr>
        <w:t xml:space="preserve"> Both indicators experienced a slight decrease. The World Bank share dropped from 0.0062% to 0.0010%, while the OECD share decreased from 7.286% to 7.221%.</w:t>
      </w:r>
    </w:p>
    <w:p>
      <w:pPr>
        <w:ind w:left="454"/>
        <w:jc w:val="both"/>
      </w:pPr>
      <w:r>
        <w:rPr>
          <w:rFonts w:ascii="Arial" w:hAnsi="Arial" w:eastAsia="Arial"/>
          <w:b w:val="0"/>
          <w:sz w:val="21"/>
        </w:rPr>
        <w:t xml:space="preserve">2. </w:t>
      </w:r>
      <w:r>
        <w:rPr>
          <w:rFonts w:ascii="Arial" w:hAnsi="Arial" w:eastAsia="Arial"/>
          <w:b/>
          <w:sz w:val="21"/>
        </w:rPr>
        <w:t>2019 to 2020:</w:t>
      </w:r>
      <w:r>
        <w:rPr>
          <w:rFonts w:ascii="Arial" w:hAnsi="Arial" w:eastAsia="Arial"/>
          <w:b w:val="0"/>
          <w:sz w:val="21"/>
        </w:rPr>
        <w:t xml:space="preserve"> Both indicators experienced a notable increase, coinciding with the onset of the COVID-19 pandemic. The World Bank share rose to 0.1358%, and the OECD share rose to 7.825%.</w:t>
      </w:r>
    </w:p>
    <w:p>
      <w:pPr>
        <w:ind w:left="454"/>
        <w:jc w:val="both"/>
      </w:pPr>
      <w:r>
        <w:rPr>
          <w:rFonts w:ascii="Arial" w:hAnsi="Arial" w:eastAsia="Arial"/>
          <w:b w:val="0"/>
          <w:sz w:val="21"/>
        </w:rPr>
        <w:t xml:space="preserve">* </w:t>
      </w:r>
      <w:r>
        <w:rPr>
          <w:rFonts w:ascii="Arial" w:hAnsi="Arial" w:eastAsia="Arial"/>
          <w:b/>
          <w:sz w:val="21"/>
        </w:rPr>
        <w:t>Difference in Scale:</w:t>
      </w:r>
      <w:r>
        <w:rPr>
          <w:rFonts w:ascii="Arial" w:hAnsi="Arial" w:eastAsia="Arial"/>
          <w:b w:val="0"/>
          <w:sz w:val="21"/>
        </w:rPr>
        <w:t xml:space="preserve"> While the directional trends were synchronized, the </w:t>
      </w:r>
      <w:r>
        <w:rPr>
          <w:rFonts w:ascii="Arial" w:hAnsi="Arial" w:eastAsia="Arial"/>
          <w:b/>
          <w:sz w:val="21"/>
        </w:rPr>
        <w:t>magnitude of change</w:t>
      </w:r>
      <w:r>
        <w:rPr>
          <w:rFonts w:ascii="Arial" w:hAnsi="Arial" w:eastAsia="Arial"/>
          <w:b w:val="0"/>
          <w:sz w:val="21"/>
        </w:rPr>
        <w:t xml:space="preserve"> was vastly different. The World Bank's external health expenditure share experienced an exponential relative surge in 2020 (increasing by over 130 times its 2019 value, though remaining very small in absolute terms), whereas the OECD's health expenditure as a percentage of GDP grew by a more moderate relative increase of approximately 8.37%.</w:t>
      </w:r>
    </w:p>
    <w:p>
      <w:pPr>
        <w:jc w:val="center"/>
      </w:pPr>
      <w:r>
        <w:t>____________________________________________________________</w:t>
      </w:r>
    </w:p>
    <w:p>
      <w:pPr>
        <w:keepNext/>
        <w:spacing w:before="240"/>
        <w:jc w:val="left"/>
      </w:pPr>
      <w:r>
        <w:rPr>
          <w:rFonts w:ascii="Arial" w:hAnsi="Arial" w:eastAsia="Arial"/>
          <w:b/>
          <w:color w:val="1B4F72"/>
          <w:sz w:val="26"/>
        </w:rPr>
        <w:t>R09</w:t>
      </w:r>
    </w:p>
    <w:p>
      <w:pPr>
        <w:spacing w:after="120"/>
        <w:jc w:val="both"/>
      </w:pPr>
      <w:r>
        <w:rPr>
          <w:rFonts w:ascii="Arial" w:hAnsi="Arial" w:eastAsia="Arial"/>
          <w:b/>
          <w:sz w:val="22"/>
        </w:rPr>
        <w:t>Pregunta:</w:t>
      </w:r>
      <w:r>
        <w:rPr>
          <w:rFonts w:ascii="Arial" w:hAnsi="Arial" w:eastAsia="Arial"/>
          <w:b w:val="0"/>
          <w:sz w:val="22"/>
        </w:rPr>
        <w:t xml:space="preserve"> What was the main problem reported by users of the application during 2018–2020, and did the World Bank external health expenditure share diverge from the OECD health expenditure as a percentage of GDP trend over the same period?</w:t>
      </w:r>
    </w:p>
    <w:p>
      <w:pPr>
        <w:spacing w:after="120"/>
        <w:jc w:val="both"/>
      </w:pPr>
      <w:r>
        <w:rPr>
          <w:rFonts w:ascii="Arial" w:hAnsi="Arial" w:eastAsia="Arial"/>
          <w:b/>
          <w:sz w:val="22"/>
        </w:rPr>
        <w:t>Llamadas a herramientas (en el orden emitido):</w:t>
      </w:r>
    </w:p>
    <w:p>
      <w:pPr>
        <w:ind w:left="454" w:hanging="283"/>
        <w:jc w:val="left"/>
      </w:pPr>
      <w:r>
        <w:rPr>
          <w:rFonts w:ascii="Arial" w:hAnsi="Arial" w:eastAsia="Arial"/>
          <w:b w:val="0"/>
          <w:sz w:val="22"/>
        </w:rPr>
        <w:t xml:space="preserve">1. </w:t>
      </w:r>
      <w:r>
        <w:rPr>
          <w:rFonts w:ascii="Consolas" w:hAnsi="Consolas" w:eastAsia="Consolas"/>
          <w:sz w:val="18"/>
        </w:rPr>
        <w:t>query_local_reviews</w:t>
      </w:r>
      <w:r>
        <w:rPr>
          <w:rFonts w:ascii="Arial" w:hAnsi="Arial" w:eastAsia="Arial"/>
          <w:b w:val="0"/>
          <w:sz w:val="22"/>
        </w:rPr>
        <w:t xml:space="preserve"> — argumentos: </w:t>
      </w:r>
      <w:r>
        <w:rPr>
          <w:rFonts w:ascii="Consolas" w:hAnsi="Consolas" w:eastAsia="Consolas"/>
          <w:sz w:val="18"/>
        </w:rPr>
        <w:t>{"start_date": "2018-01-01", "end_date": "2020-12-31"}</w:t>
      </w:r>
    </w:p>
    <w:p>
      <w:pPr>
        <w:spacing w:after="120"/>
        <w:jc w:val="both"/>
      </w:pPr>
      <w:r>
        <w:rPr>
          <w:rFonts w:ascii="Arial" w:hAnsi="Arial" w:eastAsia="Arial"/>
          <w:b w:val="0"/>
          <w:sz w:val="22"/>
        </w:rPr>
        <w:t>Resultado: OK</w:t>
      </w:r>
    </w:p>
    <w:p>
      <w:pPr>
        <w:ind w:left="454"/>
        <w:jc w:val="left"/>
      </w:pPr>
      <w:r>
        <w:rPr>
          <w:rFonts w:ascii="Consolas" w:hAnsi="Consolas" w:eastAsia="Consolas"/>
          <w:sz w:val="18"/>
        </w:rPr>
        <w:t>{"source": "local_reviews", "date_range": {"start": "2018-01-01", "end": "2020-12-31"}, "total_reviews": 16486, "valid_reviews_for_analysis": 16486, "sentiment_distribution": {"POS": 12240, "NEU": 1133, "NEG": 3113}, "top_negative_keywords": [["nunca", 1363], ["citas", 1336], ["cita", 1037], ["sacar", 974], ["mala", 298], ["disponibles", 290], ["sirve", 286], ["puede", 286], ["puedo", 274], ["nada", 261], ["ebais", 189], ["siempre", 184], ["dice", 184], ["uno", 181], ["tengo", 170]], "sample_negative_reviews": ["No puedo sacar una cita ¿cómo esperan que obtenga una cita médica en el mismo día que voy a sacarla? No me dan otros días para sacar una cita, deben arreglar el problema, ni la página sirve ambas cosas son muy malas.", "Los resultados no aparecen actualizados", "No me han llamado aun siendo alto riezgo, me dan menos medicamentos, eso me hace trastorno y citas virtuales ineficientes", "Nunca se puede sacar citas", "Pésimo"], "negative_review_count": 3113, "topic_coverage": {"with_topic_assignment": 3113, "missing_topic_assignment_count": 0, "assigned_non_noise_count": 2070, "topic_noise_count": 1043, "excluded_assigned_review_count": 210, "substantive_problem_count": 1860, "substantive_coverage_pct": 59.7494}, "problem_categories": [{"category": "ACCESO_CITAS", "count": 1303, "pct_of_substantive_problems": 70.0538, "pct_of_negative_reviews": 41.8567}, {"category": "INFORMACION_CLINICA", "count": 183, "pct_of_substantive_problems": 9.8387, "pct_of_negative_reviews": 5.8786}, {"category": "AUTENTICACION_ACCESO", "count": 158, "pct_of_substantive_problems": 8.4946, "pct_of_negative_reviews": 5.0755}, {"category": "RENDIMIENTO_APP", "count": 110, "pct_of_substantive_problems": 5.914, "pct_of_negative_reviews": 3.5336}, {"category": "REGISTRO_CUENTA", "count": 65, "pct_of_substantive_problems": 3.4946, "pct_of_negative_reviews": 2.088}, {"category": "CALIDAD_ACTUALIZACION_INFO", "count": 28, "pct_of_substantive_problems": 1.5054, "pct_of_negative_reviews": 0.8995}, {"category": "INFORMACION_ADMINISTRATIVA", "count": 13, "pct_of_substantive_problems": 0.6989, "pct_of_negative_reviews": 0.4176}], "main_problem": {"category": "ACCESO_CITAS", "count": 1303, "pct_of_substantive_problems": 70.0538, "pct_of_negative_reviews": 41.8567}, "invalid_rating_count": 0, "invalid_rating_pct": 0.0}</w:t>
      </w:r>
    </w:p>
    <w:p>
      <w:pPr>
        <w:ind w:left="454" w:hanging="283"/>
        <w:jc w:val="left"/>
      </w:pPr>
      <w:r>
        <w:rPr>
          <w:rFonts w:ascii="Arial" w:hAnsi="Arial" w:eastAsia="Arial"/>
          <w:b w:val="0"/>
          <w:sz w:val="22"/>
        </w:rPr>
        <w:t xml:space="preserve">2. </w:t>
      </w:r>
      <w:r>
        <w:rPr>
          <w:rFonts w:ascii="Consolas" w:hAnsi="Consolas" w:eastAsia="Consolas"/>
          <w:sz w:val="18"/>
        </w:rPr>
        <w:t>get_worldbank_indicator</w:t>
      </w:r>
      <w:r>
        <w:rPr>
          <w:rFonts w:ascii="Arial" w:hAnsi="Arial" w:eastAsia="Arial"/>
          <w:b w:val="0"/>
          <w:sz w:val="22"/>
        </w:rPr>
        <w:t xml:space="preserve"> — argumentos: </w:t>
      </w:r>
      <w:r>
        <w:rPr>
          <w:rFonts w:ascii="Consolas" w:hAnsi="Consolas" w:eastAsia="Consolas"/>
          <w:sz w:val="18"/>
        </w:rPr>
        <w:t>{"country_iso3": "USA", "indicator": "external_health_expenditure_pct_che", "start_year": 2018, "end_year": 2020}</w:t>
      </w:r>
    </w:p>
    <w:p>
      <w:pPr>
        <w:spacing w:after="120"/>
        <w:jc w:val="both"/>
      </w:pPr>
      <w:r>
        <w:rPr>
          <w:rFonts w:ascii="Arial" w:hAnsi="Arial" w:eastAsia="Arial"/>
          <w:b w:val="0"/>
          <w:sz w:val="22"/>
        </w:rPr>
        <w:t>Resultado: OK</w:t>
      </w:r>
    </w:p>
    <w:p>
      <w:pPr>
        <w:ind w:left="454"/>
        <w:jc w:val="left"/>
      </w:pPr>
      <w:r>
        <w:rPr>
          <w:rFonts w:ascii="Consolas" w:hAnsi="Consolas" w:eastAsia="Consolas"/>
          <w:sz w:val="18"/>
        </w:rPr>
        <w:t>{"source": "World Bank", "indicator_code": "SH.XPD.EHEX.CH.ZS", "indicator_name": "External health expenditure (% of current health expenditure)", "country_iso3": "USA", "observations": [{"year": "2018", "value": 0}, {"year": "2019", "value": 0}, {"year": "2020", "value": 0}], "query_url": "https://api.worldbank.org/v2/country/USA/indicator/SH.XPD.EHEX.CH.ZS?format=json&amp;per_page=1000&amp;date=2018%3A2020"}</w:t>
      </w:r>
    </w:p>
    <w:p>
      <w:pPr>
        <w:ind w:left="454" w:hanging="283"/>
        <w:jc w:val="left"/>
      </w:pPr>
      <w:r>
        <w:rPr>
          <w:rFonts w:ascii="Arial" w:hAnsi="Arial" w:eastAsia="Arial"/>
          <w:b w:val="0"/>
          <w:sz w:val="22"/>
        </w:rPr>
        <w:t xml:space="preserve">3. </w:t>
      </w:r>
      <w:r>
        <w:rPr>
          <w:rFonts w:ascii="Consolas" w:hAnsi="Consolas" w:eastAsia="Consolas"/>
          <w:sz w:val="18"/>
        </w:rPr>
        <w:t>get_oecd_indicator</w:t>
      </w:r>
      <w:r>
        <w:rPr>
          <w:rFonts w:ascii="Arial" w:hAnsi="Arial" w:eastAsia="Arial"/>
          <w:b w:val="0"/>
          <w:sz w:val="22"/>
        </w:rPr>
        <w:t xml:space="preserve"> — argumentos: </w:t>
      </w:r>
      <w:r>
        <w:rPr>
          <w:rFonts w:ascii="Consolas" w:hAnsi="Consolas" w:eastAsia="Consolas"/>
          <w:sz w:val="18"/>
        </w:rPr>
        <w:t>{"country_iso3": "USA", "indicator": "health_expenditure_pct_gdp", "start_period": "2018"}</w:t>
      </w:r>
    </w:p>
    <w:p>
      <w:pPr>
        <w:spacing w:after="120"/>
        <w:jc w:val="both"/>
      </w:pPr>
      <w:r>
        <w:rPr>
          <w:rFonts w:ascii="Arial" w:hAnsi="Arial" w:eastAsia="Arial"/>
          <w:b w:val="0"/>
          <w:sz w:val="22"/>
        </w:rPr>
        <w:t>Resultado: OK</w:t>
      </w:r>
    </w:p>
    <w:p>
      <w:pPr>
        <w:ind w:left="454"/>
        <w:jc w:val="left"/>
      </w:pPr>
      <w:r>
        <w:rPr>
          <w:rFonts w:ascii="Consolas" w:hAnsi="Consolas" w:eastAsia="Consolas"/>
          <w:sz w:val="18"/>
        </w:rPr>
        <w:t>{"source": "OECD", "dataflow": "OECD.ELS.HD,DSD_SHA@DF_SHA,", "key": "USA.A.EXP_HEALTH.PT_B1GQ._T._Z._T._T._T._Z._Z._Z", "country_iso3": "USA", "observations": [{"year": "2018", "value": 16.677}, {"year": "2019", "value": 16.745}, {"year": "2020", "value": 18.734}, {"year": "2021", "value": 17.53}, {"year": "2022", "value": 16.744}, {"year": "2023", "value": 16.87}, {"year": "2024", "value": 17.202}, {"year": "2025", "value": 17.598}], "query_url": "https://sdmx.oecd.org/public/rest/data/OECD.ELS.HD,DSD_SHA@DF_SHA,/USA.A.EXP_HEALTH.PT_B1GQ._T._Z._T._T._T._Z._Z._Z?startPeriod=2018", "response_meta": {"schema": "https://raw.githubusercontent.com/sdmx-twg/sdmx-json/master/data-message/tools/schemas/2.0.0/sdmx-json-data-schema.json", "id": "IREF001026", "prepared": "2026-09-07T02:48:05Z", "test": false, "contentLanguages": ["en", "en-US"], "sender": {"id": "Disseminate_Final_DMZ", "name": "unknown", "names": {"en-US": "unknown"}}}}</w:t>
      </w:r>
    </w:p>
    <w:p>
      <w:pPr>
        <w:spacing w:after="120"/>
        <w:jc w:val="both"/>
      </w:pPr>
      <w:r>
        <w:rPr>
          <w:rFonts w:ascii="Arial" w:hAnsi="Arial" w:eastAsia="Arial"/>
          <w:b/>
          <w:sz w:val="22"/>
        </w:rPr>
        <w:t>Respuesta final del sistema:</w:t>
      </w:r>
    </w:p>
    <w:p>
      <w:pPr>
        <w:ind w:left="454"/>
        <w:jc w:val="both"/>
      </w:pPr>
      <w:r>
        <w:rPr>
          <w:rFonts w:ascii="Arial" w:hAnsi="Arial" w:eastAsia="Arial"/>
          <w:b w:val="0"/>
          <w:sz w:val="21"/>
        </w:rPr>
        <w:t>During the period from 2018 to 2020, the main problem reported by users of the digital health application was related to "ACCESO_CITAS" (appointment access), which accounted for 70.05% of substantive problem reports and 41.86% of all negative reviews.</w:t>
      </w:r>
    </w:p>
    <w:p>
      <w:pPr>
        <w:ind w:left="454"/>
        <w:jc w:val="both"/>
      </w:pPr>
    </w:p>
    <w:p>
      <w:pPr>
        <w:ind w:left="454"/>
        <w:jc w:val="both"/>
      </w:pPr>
      <w:r>
        <w:rPr>
          <w:rFonts w:ascii="Arial" w:hAnsi="Arial" w:eastAsia="Arial"/>
          <w:b w:val="0"/>
          <w:sz w:val="21"/>
        </w:rPr>
        <w:t>Regarding the health expenditure trends, the World Bank reported that the external health expenditure as a percentage of current health expenditure for the USA was 0% for each year from 2018 to 2020. In contrast, the OECD reported that health expenditure as a percentage of GDP for the USA was 16.677% in 2018, 16.745% in 2019, and increased to 18.734% in 2020. This indicates a divergence in trends, as the World Bank's external health expenditure remained constant at 0%, while the OECD's health expenditure as a percentage of GDP showed an increasing trend during the same period.</w:t>
      </w:r>
    </w:p>
    <w:p>
      <w:pPr>
        <w:jc w:val="center"/>
      </w:pPr>
      <w:r>
        <w:t>____________________________________________________________</w:t>
      </w:r>
    </w:p>
    <w:p>
      <w:pPr>
        <w:keepNext/>
        <w:spacing w:before="240"/>
        <w:jc w:val="left"/>
      </w:pPr>
      <w:r>
        <w:rPr>
          <w:rFonts w:ascii="Arial" w:hAnsi="Arial" w:eastAsia="Arial"/>
          <w:b/>
          <w:color w:val="1B4F72"/>
          <w:sz w:val="26"/>
        </w:rPr>
        <w:t>R10</w:t>
      </w:r>
    </w:p>
    <w:p>
      <w:pPr>
        <w:spacing w:after="120"/>
        <w:jc w:val="both"/>
      </w:pPr>
      <w:r>
        <w:rPr>
          <w:rFonts w:ascii="Arial" w:hAnsi="Arial" w:eastAsia="Arial"/>
          <w:b/>
          <w:sz w:val="22"/>
        </w:rPr>
        <w:t>Pregunta:</w:t>
      </w:r>
      <w:r>
        <w:rPr>
          <w:rFonts w:ascii="Arial" w:hAnsi="Arial" w:eastAsia="Arial"/>
          <w:b w:val="0"/>
          <w:sz w:val="22"/>
        </w:rPr>
        <w:t xml:space="preserve"> What was the main problem reported by users of the application during 2017–2019, how prevalent was it among negative reviews, and how did the World Bank out-of-pocket expenditure share and OECD health expenditure as a percentage of GDP change over the same period?</w:t>
      </w:r>
    </w:p>
    <w:p>
      <w:pPr>
        <w:spacing w:after="120"/>
        <w:jc w:val="both"/>
      </w:pPr>
      <w:r>
        <w:rPr>
          <w:rFonts w:ascii="Arial" w:hAnsi="Arial" w:eastAsia="Arial"/>
          <w:b/>
          <w:sz w:val="22"/>
        </w:rPr>
        <w:t>Llamadas a herramientas (en el orden emitido):</w:t>
      </w:r>
    </w:p>
    <w:p>
      <w:pPr>
        <w:ind w:left="454" w:hanging="283"/>
        <w:jc w:val="left"/>
      </w:pPr>
      <w:r>
        <w:rPr>
          <w:rFonts w:ascii="Arial" w:hAnsi="Arial" w:eastAsia="Arial"/>
          <w:b w:val="0"/>
          <w:sz w:val="22"/>
        </w:rPr>
        <w:t xml:space="preserve">1. </w:t>
      </w:r>
      <w:r>
        <w:rPr>
          <w:rFonts w:ascii="Consolas" w:hAnsi="Consolas" w:eastAsia="Consolas"/>
          <w:sz w:val="18"/>
        </w:rPr>
        <w:t>query_local_reviews</w:t>
      </w:r>
      <w:r>
        <w:rPr>
          <w:rFonts w:ascii="Arial" w:hAnsi="Arial" w:eastAsia="Arial"/>
          <w:b w:val="0"/>
          <w:sz w:val="22"/>
        </w:rPr>
        <w:t xml:space="preserve"> — argumentos: </w:t>
      </w:r>
      <w:r>
        <w:rPr>
          <w:rFonts w:ascii="Consolas" w:hAnsi="Consolas" w:eastAsia="Consolas"/>
          <w:sz w:val="18"/>
        </w:rPr>
        <w:t>{"start_date": "2017-01-01", "end_date": "2019-12-31"}</w:t>
      </w:r>
    </w:p>
    <w:p>
      <w:pPr>
        <w:spacing w:after="120"/>
        <w:jc w:val="both"/>
      </w:pPr>
      <w:r>
        <w:rPr>
          <w:rFonts w:ascii="Arial" w:hAnsi="Arial" w:eastAsia="Arial"/>
          <w:b w:val="0"/>
          <w:sz w:val="22"/>
        </w:rPr>
        <w:t>Resultado: OK</w:t>
      </w:r>
    </w:p>
    <w:p>
      <w:pPr>
        <w:ind w:left="454"/>
        <w:jc w:val="left"/>
      </w:pPr>
      <w:r>
        <w:rPr>
          <w:rFonts w:ascii="Consolas" w:hAnsi="Consolas" w:eastAsia="Consolas"/>
          <w:sz w:val="18"/>
        </w:rPr>
        <w:t>{"source": "local_reviews", "date_range": {"start": "2017-01-01", "end": "2019-12-31"}, "total_reviews": 8614, "valid_reviews_for_analysis": 8614, "sentiment_distribution": {"POS": 5817, "NEU": 676, "NEG": 2121}, "top_negative_keywords": [["citas", 898], ["nunca", 897], ["cita", 684], ["sacar", 661], ["puedo", 223], ["sirve", 215], ["puede", 204], ["nada", 199], ["disponibles", 198], ["mala", 198], ["dice", 154], ["uno", 140], ["ebais", 128], ["siempre", 127], ["tengo", 124]], "sample_negative_reviews": ["La aplicación esta bien, el problema es que nunca hay citas disponibles. Y eso hace que nunca use la aplicación.", "Agradecida", "Aquí en el coopesiba de San Roque, la verdad que para sacar una cita, siempre sale a relucir no hay citas disponibles, esperemos se arregle está situación, porque para eso se está pagando, muchas gracias.😠", "Demasiado mala", "No hay citas"], "negative_review_count": 2121, "topic_coverage": {"with_topic_assignment": 2121, "missing_topic_assignment_count": 0, "assigned_non_noise_count": 1417, "topic_noise_count": 704, "excluded_assigned_review_count": 144, "substantive_problem_count": 1273, "substantive_coverage_pct": 60.0189}, "problem_categories": [{"category": "ACCESO_CITAS", "count": 867, "pct_of_substantive_problems": 68.1068, "pct_of_negative_reviews": 40.8769}, {"category": "AUTENTICACION_ACCESO", "count": 123, "pct_of_substantive_problems": 9.6622, "pct_of_negative_reviews": 5.7992}, {"category": "INFORMACION_CLINICA", "count": 118, "pct_of_substantive_problems": 9.2694, "pct_of_negative_reviews": 5.5634}, {"category": "RENDIMIENTO_APP", "count": 79, "pct_of_substantive_problems": 6.2058, "pct_of_negative_reviews": 3.7247}, {"category": "REGISTRO_CUENTA", "count": 63, "pct_of_substantive_problems": 4.9489, "pct_of_negative_reviews": 2.9703}, {"category": "CALIDAD_ACTUALIZACION_INFO", "count": 16, "pct_of_substantive_problems": 1.2569, "pct_of_negative_reviews": 0.7544}, {"category": "INFORMACION_ADMINISTRATIVA", "count": 7, "pct_of_substantive_problems": 0.5499, "pct_of_negative_reviews": 0.33}], "main_problem": {"category": "ACCESO_CITAS", "count": 867, "pct_of_substantive_problems": 68.1068, "pct_of_negative_reviews": 40.8769}, "invalid_rating_count": 0, "invalid_rating_pct": 0.0}</w:t>
      </w:r>
    </w:p>
    <w:p>
      <w:pPr>
        <w:ind w:left="454" w:hanging="283"/>
        <w:jc w:val="left"/>
      </w:pPr>
      <w:r>
        <w:rPr>
          <w:rFonts w:ascii="Arial" w:hAnsi="Arial" w:eastAsia="Arial"/>
          <w:b w:val="0"/>
          <w:sz w:val="22"/>
        </w:rPr>
        <w:t xml:space="preserve">2. </w:t>
      </w:r>
      <w:r>
        <w:rPr>
          <w:rFonts w:ascii="Consolas" w:hAnsi="Consolas" w:eastAsia="Consolas"/>
          <w:sz w:val="18"/>
        </w:rPr>
        <w:t>get_worldbank_indicator</w:t>
      </w:r>
      <w:r>
        <w:rPr>
          <w:rFonts w:ascii="Arial" w:hAnsi="Arial" w:eastAsia="Arial"/>
          <w:b w:val="0"/>
          <w:sz w:val="22"/>
        </w:rPr>
        <w:t xml:space="preserve"> — argumentos: </w:t>
      </w:r>
      <w:r>
        <w:rPr>
          <w:rFonts w:ascii="Consolas" w:hAnsi="Consolas" w:eastAsia="Consolas"/>
          <w:sz w:val="18"/>
        </w:rPr>
        <w:t>{"country_iso3": "USA", "indicator": "out_of_pocket_expenditure_pct_che", "start_year": 2017, "end_year": 2019}</w:t>
      </w:r>
    </w:p>
    <w:p>
      <w:pPr>
        <w:spacing w:after="120"/>
        <w:jc w:val="both"/>
      </w:pPr>
      <w:r>
        <w:rPr>
          <w:rFonts w:ascii="Arial" w:hAnsi="Arial" w:eastAsia="Arial"/>
          <w:b w:val="0"/>
          <w:sz w:val="22"/>
        </w:rPr>
        <w:t>Resultado: OK</w:t>
      </w:r>
    </w:p>
    <w:p>
      <w:pPr>
        <w:ind w:left="454"/>
        <w:jc w:val="left"/>
      </w:pPr>
      <w:r>
        <w:rPr>
          <w:rFonts w:ascii="Consolas" w:hAnsi="Consolas" w:eastAsia="Consolas"/>
          <w:sz w:val="18"/>
        </w:rPr>
        <w:t>{"source": "World Bank", "indicator_code": "SH.XPD.OOPC.CH.ZS", "indicator_name": "Out-of-pocket expenditure (% of current health expenditure)", "country_iso3": "USA", "observations": [{"year": "2017", "value": 11.34881878}, {"year": "2018", "value": 11.32081032}, {"year": "2019", "value": 11.30872917}], "query_url": "https://api.worldbank.org/v2/country/USA/indicator/SH.XPD.OOPC.CH.ZS?format=json&amp;per_page=1000&amp;date=2017%3A2019"}</w:t>
      </w:r>
    </w:p>
    <w:p>
      <w:pPr>
        <w:ind w:left="454" w:hanging="283"/>
        <w:jc w:val="left"/>
      </w:pPr>
      <w:r>
        <w:rPr>
          <w:rFonts w:ascii="Arial" w:hAnsi="Arial" w:eastAsia="Arial"/>
          <w:b w:val="0"/>
          <w:sz w:val="22"/>
        </w:rPr>
        <w:t xml:space="preserve">3. </w:t>
      </w:r>
      <w:r>
        <w:rPr>
          <w:rFonts w:ascii="Consolas" w:hAnsi="Consolas" w:eastAsia="Consolas"/>
          <w:sz w:val="18"/>
        </w:rPr>
        <w:t>get_oecd_indicator</w:t>
      </w:r>
      <w:r>
        <w:rPr>
          <w:rFonts w:ascii="Arial" w:hAnsi="Arial" w:eastAsia="Arial"/>
          <w:b w:val="0"/>
          <w:sz w:val="22"/>
        </w:rPr>
        <w:t xml:space="preserve"> — argumentos: </w:t>
      </w:r>
      <w:r>
        <w:rPr>
          <w:rFonts w:ascii="Consolas" w:hAnsi="Consolas" w:eastAsia="Consolas"/>
          <w:sz w:val="18"/>
        </w:rPr>
        <w:t>{"country_iso3": "USA", "indicator": "health_expenditure_pct_gdp", "start_period": "2017"}</w:t>
      </w:r>
    </w:p>
    <w:p>
      <w:pPr>
        <w:spacing w:after="120"/>
        <w:jc w:val="both"/>
      </w:pPr>
      <w:r>
        <w:rPr>
          <w:rFonts w:ascii="Arial" w:hAnsi="Arial" w:eastAsia="Arial"/>
          <w:b w:val="0"/>
          <w:sz w:val="22"/>
        </w:rPr>
        <w:t>Resultado: OK</w:t>
      </w:r>
    </w:p>
    <w:p>
      <w:pPr>
        <w:ind w:left="454"/>
        <w:jc w:val="left"/>
      </w:pPr>
      <w:r>
        <w:rPr>
          <w:rFonts w:ascii="Consolas" w:hAnsi="Consolas" w:eastAsia="Consolas"/>
          <w:sz w:val="18"/>
        </w:rPr>
        <w:t>{"source": "OECD", "dataflow": "OECD.ELS.HD,DSD_SHA@DF_SHA,", "key": "USA.A.EXP_HEALTH.PT_B1GQ._T._Z._T._T._T._Z._Z._Z", "country_iso3": "USA", "observations": [{"year": "2017", "value": 16.729}, {"year": "2018", "value": 16.677}, {"year": "2019", "value": 16.745}, {"year": "2020", "value": 18.734}, {"year": "2021", "value": 17.53}, {"year": "2022", "value": 16.744}, {"year": "2023", "value": 16.87}, {"year": "2024", "value": 17.202}, {"year": "2025", "value": 17.598}], "query_url": "https://sdmx.oecd.org/public/rest/data/OECD.ELS.HD,DSD_SHA@DF_SHA,/USA.A.EXP_HEALTH.PT_B1GQ._T._Z._T._T._T._Z._Z._Z?startPeriod=2017", "response_meta": {"schema": "https://raw.githubusercontent.com/sdmx-twg/sdmx-json/master/data-message/tools/schemas/2.0.0/sdmx-json-data-schema.json", "id": "IREF001040", "prepared": "2026-09-07T02:47:42Z", "test": false, "contentLanguages": ["en", "en-US"], "sender": {"id": "Disseminate_Final_DMZ", "name": "unknown", "names": {"en-US": "unknown"}}}}</w:t>
      </w:r>
    </w:p>
    <w:p>
      <w:pPr>
        <w:spacing w:after="120"/>
        <w:jc w:val="both"/>
      </w:pPr>
      <w:r>
        <w:rPr>
          <w:rFonts w:ascii="Arial" w:hAnsi="Arial" w:eastAsia="Arial"/>
          <w:b/>
          <w:sz w:val="22"/>
        </w:rPr>
        <w:t>Respuesta final del sistema:</w:t>
      </w:r>
    </w:p>
    <w:p>
      <w:pPr>
        <w:ind w:left="454"/>
        <w:jc w:val="both"/>
      </w:pPr>
      <w:r>
        <w:rPr>
          <w:rFonts w:ascii="Arial" w:hAnsi="Arial" w:eastAsia="Arial"/>
          <w:b w:val="0"/>
          <w:sz w:val="21"/>
        </w:rPr>
        <w:t>During the period from 2017 to 2019, the main problem reported by users of the digital health application was "ACCESO_CITAS" (access to appointments). This issue was prevalent in 40.88% of all negative reviews and accounted for 68.11% of the substantive problem categories identified.</w:t>
      </w:r>
    </w:p>
    <w:p>
      <w:pPr>
        <w:ind w:left="454"/>
        <w:jc w:val="both"/>
      </w:pPr>
    </w:p>
    <w:p>
      <w:pPr>
        <w:ind w:left="454"/>
        <w:jc w:val="both"/>
      </w:pPr>
      <w:r>
        <w:rPr>
          <w:rFonts w:ascii="Arial" w:hAnsi="Arial" w:eastAsia="Arial"/>
          <w:b w:val="0"/>
          <w:sz w:val="21"/>
        </w:rPr>
        <w:t>Regarding the World Bank's data on out-of-pocket expenditure as a percentage of current health expenditure in the USA, the values were as follows:</w:t>
      </w:r>
    </w:p>
    <w:p>
      <w:pPr>
        <w:ind w:left="454"/>
        <w:jc w:val="both"/>
      </w:pPr>
      <w:r>
        <w:rPr>
          <w:rFonts w:ascii="Arial" w:hAnsi="Arial" w:eastAsia="Arial"/>
          <w:b w:val="0"/>
          <w:sz w:val="21"/>
        </w:rPr>
        <w:t>- 2017: 11.35%</w:t>
      </w:r>
    </w:p>
    <w:p>
      <w:pPr>
        <w:ind w:left="454"/>
        <w:jc w:val="both"/>
      </w:pPr>
      <w:r>
        <w:rPr>
          <w:rFonts w:ascii="Arial" w:hAnsi="Arial" w:eastAsia="Arial"/>
          <w:b w:val="0"/>
          <w:sz w:val="21"/>
        </w:rPr>
        <w:t>- 2018: 11.32%</w:t>
      </w:r>
    </w:p>
    <w:p>
      <w:pPr>
        <w:ind w:left="454"/>
        <w:jc w:val="both"/>
      </w:pPr>
      <w:r>
        <w:rPr>
          <w:rFonts w:ascii="Arial" w:hAnsi="Arial" w:eastAsia="Arial"/>
          <w:b w:val="0"/>
          <w:sz w:val="21"/>
        </w:rPr>
        <w:t>- 2019: 11.31%</w:t>
      </w:r>
    </w:p>
    <w:p>
      <w:pPr>
        <w:ind w:left="454"/>
        <w:jc w:val="both"/>
      </w:pPr>
    </w:p>
    <w:p>
      <w:pPr>
        <w:ind w:left="454"/>
        <w:jc w:val="both"/>
      </w:pPr>
      <w:r>
        <w:rPr>
          <w:rFonts w:ascii="Arial" w:hAnsi="Arial" w:eastAsia="Arial"/>
          <w:b w:val="0"/>
          <w:sz w:val="21"/>
        </w:rPr>
        <w:t>For the OECD's data on health expenditure as a percentage of GDP in the USA, the values were:</w:t>
      </w:r>
    </w:p>
    <w:p>
      <w:pPr>
        <w:ind w:left="454"/>
        <w:jc w:val="both"/>
      </w:pPr>
      <w:r>
        <w:rPr>
          <w:rFonts w:ascii="Arial" w:hAnsi="Arial" w:eastAsia="Arial"/>
          <w:b w:val="0"/>
          <w:sz w:val="21"/>
        </w:rPr>
        <w:t>- 2017: 16.73%</w:t>
      </w:r>
    </w:p>
    <w:p>
      <w:pPr>
        <w:ind w:left="454"/>
        <w:jc w:val="both"/>
      </w:pPr>
      <w:r>
        <w:rPr>
          <w:rFonts w:ascii="Arial" w:hAnsi="Arial" w:eastAsia="Arial"/>
          <w:b w:val="0"/>
          <w:sz w:val="21"/>
        </w:rPr>
        <w:t>- 2018: 16.68%</w:t>
      </w:r>
    </w:p>
    <w:p>
      <w:pPr>
        <w:ind w:left="454"/>
        <w:jc w:val="both"/>
      </w:pPr>
      <w:r>
        <w:rPr>
          <w:rFonts w:ascii="Arial" w:hAnsi="Arial" w:eastAsia="Arial"/>
          <w:b w:val="0"/>
          <w:sz w:val="21"/>
        </w:rPr>
        <w:t>- 2019: 16.75%</w:t>
      </w:r>
    </w:p>
    <w:p>
      <w:pPr>
        <w:ind w:left="454"/>
        <w:jc w:val="both"/>
      </w:pPr>
    </w:p>
    <w:p>
      <w:pPr>
        <w:ind w:left="454"/>
        <w:jc w:val="both"/>
      </w:pPr>
      <w:r>
        <w:rPr>
          <w:rFonts w:ascii="Arial" w:hAnsi="Arial" w:eastAsia="Arial"/>
          <w:b w:val="0"/>
          <w:sz w:val="21"/>
        </w:rPr>
        <w:t>These figures indicate a slight decrease in out-of-pocket expenditure as a percentage of current health expenditure and a relatively stable health expenditure as a percentage of GDP over the period.</w:t>
      </w:r>
    </w:p>
    <w:p>
      <w:pPr>
        <w:jc w:val="center"/>
      </w:pPr>
      <w:r>
        <w:t>____________________________________________________________</w:t>
      </w:r>
    </w:p>
    <w:p>
      <w:pPr>
        <w:keepNext/>
        <w:spacing w:before="240"/>
        <w:jc w:val="left"/>
      </w:pPr>
      <w:r>
        <w:rPr>
          <w:rFonts w:ascii="Arial" w:hAnsi="Arial" w:eastAsia="Arial"/>
          <w:b/>
          <w:color w:val="1B4F72"/>
          <w:sz w:val="26"/>
        </w:rPr>
        <w:t>R11</w:t>
      </w:r>
    </w:p>
    <w:p>
      <w:pPr>
        <w:spacing w:after="120"/>
        <w:jc w:val="both"/>
      </w:pPr>
      <w:r>
        <w:rPr>
          <w:rFonts w:ascii="Arial" w:hAnsi="Arial" w:eastAsia="Arial"/>
          <w:b/>
          <w:sz w:val="22"/>
        </w:rPr>
        <w:t>Pregunta:</w:t>
      </w:r>
      <w:r>
        <w:rPr>
          <w:rFonts w:ascii="Arial" w:hAnsi="Arial" w:eastAsia="Arial"/>
          <w:b w:val="0"/>
          <w:sz w:val="22"/>
        </w:rPr>
        <w:t xml:space="preserve"> What was the main problem reported by users of the application during 2019–2021, and how did Costa Rica's World Bank domestic general government health expenditure as a share of general government expenditure and OECD health expenditure as a percentage of GDP change over the same period?</w:t>
      </w:r>
    </w:p>
    <w:p>
      <w:pPr>
        <w:spacing w:after="120"/>
        <w:jc w:val="both"/>
      </w:pPr>
      <w:r>
        <w:rPr>
          <w:rFonts w:ascii="Arial" w:hAnsi="Arial" w:eastAsia="Arial"/>
          <w:b/>
          <w:sz w:val="22"/>
        </w:rPr>
        <w:t>Llamadas a herramientas (en el orden emitido):</w:t>
      </w:r>
    </w:p>
    <w:p>
      <w:pPr>
        <w:ind w:left="454" w:hanging="283"/>
        <w:jc w:val="left"/>
      </w:pPr>
      <w:r>
        <w:rPr>
          <w:rFonts w:ascii="Arial" w:hAnsi="Arial" w:eastAsia="Arial"/>
          <w:b w:val="0"/>
          <w:sz w:val="22"/>
        </w:rPr>
        <w:t xml:space="preserve">1. </w:t>
      </w:r>
      <w:r>
        <w:rPr>
          <w:rFonts w:ascii="Consolas" w:hAnsi="Consolas" w:eastAsia="Consolas"/>
          <w:sz w:val="18"/>
        </w:rPr>
        <w:t>query_local_reviews</w:t>
      </w:r>
      <w:r>
        <w:rPr>
          <w:rFonts w:ascii="Arial" w:hAnsi="Arial" w:eastAsia="Arial"/>
          <w:b w:val="0"/>
          <w:sz w:val="22"/>
        </w:rPr>
        <w:t xml:space="preserve"> — argumentos: </w:t>
      </w:r>
      <w:r>
        <w:rPr>
          <w:rFonts w:ascii="Consolas" w:hAnsi="Consolas" w:eastAsia="Consolas"/>
          <w:sz w:val="18"/>
        </w:rPr>
        <w:t>{"start_date": "2019-01-01", "end_date": "2021-12-31"}</w:t>
      </w:r>
    </w:p>
    <w:p>
      <w:pPr>
        <w:spacing w:after="120"/>
        <w:jc w:val="both"/>
      </w:pPr>
      <w:r>
        <w:rPr>
          <w:rFonts w:ascii="Arial" w:hAnsi="Arial" w:eastAsia="Arial"/>
          <w:b w:val="0"/>
          <w:sz w:val="22"/>
        </w:rPr>
        <w:t>Resultado: OK</w:t>
      </w:r>
    </w:p>
    <w:p>
      <w:pPr>
        <w:ind w:left="454"/>
        <w:jc w:val="left"/>
      </w:pPr>
      <w:r>
        <w:rPr>
          <w:rFonts w:ascii="Consolas" w:hAnsi="Consolas" w:eastAsia="Consolas"/>
          <w:sz w:val="18"/>
        </w:rPr>
        <w:t>{"source": "local_reviews", "date_range": {"start": "2019-01-01", "end": "2021-12-31"}, "total_reviews": 26035, "valid_reviews_for_analysis": 26035, "sentiment_distribution": {"POS": 19908, "NEG": 4428, "NEU": 1699}, "top_negative_keywords": [["citas", 1956], ["nunca", 1884], ["cita", 1457], ["sacar", 1385], ["mala", 448], ["sirve", 432], ["puede", 416], ["disponibles", 413], ["nada", 377], ["puedo", 318], ["uno", 281], ["ebais", 261], ["siempre", 245], ["dice", 238], ["solo", 223]], "sample_negative_reviews": ["En realidad no funciona, igual son las largas filas en farmacia en consulta y para obtener alguna cita, lo demás es meramente informativo. No sirve y tampoco actualiza los datos, mucho dinero para estar peor que antes. Le doy una estrella puesto puedo darle menos.", "Mala app", "No sirve", "No he podido encontrar citas ni una sola vez", "No toda la información se encuentra"], "negative_review_count": 4428, "topic_coverage": {"with_topic_assignment": 4428, "missing_topic_assignment_count": 0, "assigned_non_noise_count": 2926, "topic_noise_count": 1502, "excluded_assigned_review_count": 317, "substantive_problem_count": 2609, "substantive_coverage_pct": 58.9205}, "problem_categories": [{"category": "ACCESO_CITAS", "count": 1812, "pct_of_substantive_problems": 69.4519, "pct_of_negative_reviews": 40.9214}, {"category": "INFORMACION_CLINICA", "count": 302, "pct_of_substantive_problems": 11.5753, "pct_of_negative_reviews": 6.8202}, {"category": "AUTENTICACION_ACCESO", "count": 196, "pct_of_substantive_problems": 7.5125, "pct_of_negative_reviews": 4.4264}, {"category": "RENDIMIENTO_APP", "count": 164, "pct_of_substantive_problems": 6.2859, "pct_of_negative_reviews": 3.7037}, {"category": "REGISTRO_CUENTA", "count": 59, "pct_of_substantive_problems": 2.2614, "pct_of_negative_reviews": 1.3324}, {"category": "CALIDAD_ACTUALIZACION_INFO", "count": 58, "pct_of_substantive_problems": 2.2231, "pct_of_negative_reviews": 1.3098}, {"category": "INFORMACION_ADMINISTRATIVA", "count": 18, "pct_of_substantive_problems": 0.6899, "pct_of_negative_reviews": 0.4065}], "main_problem": {"category": "ACCESO_CITAS", "count": 1812, "pct_of_substantive_problems": 69.4519, "pct_of_negative_reviews": 40.9214}, "invalid_rating_count": 0, "invalid_rating_pct": 0.0}</w:t>
      </w:r>
    </w:p>
    <w:p>
      <w:pPr>
        <w:ind w:left="454" w:hanging="283"/>
        <w:jc w:val="left"/>
      </w:pPr>
      <w:r>
        <w:rPr>
          <w:rFonts w:ascii="Arial" w:hAnsi="Arial" w:eastAsia="Arial"/>
          <w:b w:val="0"/>
          <w:sz w:val="22"/>
        </w:rPr>
        <w:t xml:space="preserve">2. </w:t>
      </w:r>
      <w:r>
        <w:rPr>
          <w:rFonts w:ascii="Consolas" w:hAnsi="Consolas" w:eastAsia="Consolas"/>
          <w:sz w:val="18"/>
        </w:rPr>
        <w:t>get_worldbank_indicator</w:t>
      </w:r>
      <w:r>
        <w:rPr>
          <w:rFonts w:ascii="Arial" w:hAnsi="Arial" w:eastAsia="Arial"/>
          <w:b w:val="0"/>
          <w:sz w:val="22"/>
        </w:rPr>
        <w:t xml:space="preserve"> — argumentos: </w:t>
      </w:r>
      <w:r>
        <w:rPr>
          <w:rFonts w:ascii="Consolas" w:hAnsi="Consolas" w:eastAsia="Consolas"/>
          <w:sz w:val="18"/>
        </w:rPr>
        <w:t>{"country_iso3": "CRI", "indicator": "domestic_govt_health_expenditure_pct_govt_expenditure", "start_year": 2019, "end_year": 2021}</w:t>
      </w:r>
    </w:p>
    <w:p>
      <w:pPr>
        <w:spacing w:after="120"/>
        <w:jc w:val="both"/>
      </w:pPr>
      <w:r>
        <w:rPr>
          <w:rFonts w:ascii="Arial" w:hAnsi="Arial" w:eastAsia="Arial"/>
          <w:b w:val="0"/>
          <w:sz w:val="22"/>
        </w:rPr>
        <w:t>Resultado: OK</w:t>
      </w:r>
    </w:p>
    <w:p>
      <w:pPr>
        <w:ind w:left="454"/>
        <w:jc w:val="left"/>
      </w:pPr>
      <w:r>
        <w:rPr>
          <w:rFonts w:ascii="Consolas" w:hAnsi="Consolas" w:eastAsia="Consolas"/>
          <w:sz w:val="18"/>
        </w:rPr>
        <w:t>{"source": "World Bank", "indicator_code": "SH.XPD.GHED.GE.ZS", "indicator_name": "Domestic general government health expenditure (% of general government expenditure)", "country_iso3": "CRI", "observations": [{"year": "2019", "value": 24.15332603}, {"year": "2020", "value": 25.20714569}, {"year": "2021", "value": 25.77289963}], "query_url": "https://api.worldbank.org/v2/country/CRI/indicator/SH.XPD.GHED.GE.ZS?format=json&amp;per_page=1000&amp;date=2019%3A2021"}</w:t>
      </w:r>
    </w:p>
    <w:p>
      <w:pPr>
        <w:ind w:left="454" w:hanging="283"/>
        <w:jc w:val="left"/>
      </w:pPr>
      <w:r>
        <w:rPr>
          <w:rFonts w:ascii="Arial" w:hAnsi="Arial" w:eastAsia="Arial"/>
          <w:b w:val="0"/>
          <w:sz w:val="22"/>
        </w:rPr>
        <w:t xml:space="preserve">3. </w:t>
      </w:r>
      <w:r>
        <w:rPr>
          <w:rFonts w:ascii="Consolas" w:hAnsi="Consolas" w:eastAsia="Consolas"/>
          <w:sz w:val="18"/>
        </w:rPr>
        <w:t>get_oecd_indicator</w:t>
      </w:r>
      <w:r>
        <w:rPr>
          <w:rFonts w:ascii="Arial" w:hAnsi="Arial" w:eastAsia="Arial"/>
          <w:b w:val="0"/>
          <w:sz w:val="22"/>
        </w:rPr>
        <w:t xml:space="preserve"> — argumentos: </w:t>
      </w:r>
      <w:r>
        <w:rPr>
          <w:rFonts w:ascii="Consolas" w:hAnsi="Consolas" w:eastAsia="Consolas"/>
          <w:sz w:val="18"/>
        </w:rPr>
        <w:t>{"country_iso3": "CRI", "indicator": "health_expenditure_pct_gdp", "start_period": "2019"}</w:t>
      </w:r>
    </w:p>
    <w:p>
      <w:pPr>
        <w:spacing w:after="120"/>
        <w:jc w:val="both"/>
      </w:pPr>
      <w:r>
        <w:rPr>
          <w:rFonts w:ascii="Arial" w:hAnsi="Arial" w:eastAsia="Arial"/>
          <w:b w:val="0"/>
          <w:sz w:val="22"/>
        </w:rPr>
        <w:t>Resultado: OK</w:t>
      </w:r>
    </w:p>
    <w:p>
      <w:pPr>
        <w:ind w:left="454"/>
        <w:jc w:val="left"/>
      </w:pPr>
      <w:r>
        <w:rPr>
          <w:rFonts w:ascii="Consolas" w:hAnsi="Consolas" w:eastAsia="Consolas"/>
          <w:sz w:val="18"/>
        </w:rPr>
        <w:t>{"source": "OECD", "dataflow": "OECD.ELS.HD,DSD_SHA@DF_SHA,", "key": "CRI.A.EXP_HEALTH.PT_B1GQ._T._Z._T._T._T._Z._Z._Z", "country_iso3": "CRI", "observations": [{"year": "2019", "value": 7.221}, {"year": "2020", "value": 7.825}, {"year": "2021", "value": 7.611}, {"year": "2022", "value": 7.184}, {"year": "2023", "value": 6.866}, {"year": "2024", "value": 6.91}, {"year": "2025", "value": 6.776}], "query_url": "https://sdmx.oecd.org/public/rest/data/OECD.ELS.HD,DSD_SHA@DF_SHA,/CRI.A.EXP_HEALTH.PT_B1GQ._T._Z._T._T._T._Z._Z._Z?startPeriod=2019", "response_meta": {"schema": "https://raw.githubusercontent.com/sdmx-twg/sdmx-json/master/data-message/tools/schemas/2.0.0/sdmx-json-data-schema.json", "id": "IREF001083", "prepared": "2026-09-07T02:46:00Z", "test": false, "contentLanguages": ["en", "en-US"], "sender": {"id": "Disseminate_Final_DMZ", "name": "unknown", "names": {"en-US": "unknown"}}}}</w:t>
      </w:r>
    </w:p>
    <w:p>
      <w:pPr>
        <w:spacing w:after="120"/>
        <w:jc w:val="both"/>
      </w:pPr>
      <w:r>
        <w:rPr>
          <w:rFonts w:ascii="Arial" w:hAnsi="Arial" w:eastAsia="Arial"/>
          <w:b/>
          <w:sz w:val="22"/>
        </w:rPr>
        <w:t>Respuesta final del sistema:</w:t>
      </w:r>
    </w:p>
    <w:p>
      <w:pPr>
        <w:ind w:left="454"/>
        <w:jc w:val="both"/>
      </w:pPr>
      <w:r>
        <w:rPr>
          <w:rFonts w:ascii="Arial" w:hAnsi="Arial" w:eastAsia="Arial"/>
          <w:b w:val="0"/>
          <w:sz w:val="21"/>
        </w:rPr>
        <w:t>During the period from 2019 to 2021, the main problem reported by users of the digital health application was related to "ACCESO_CITAS" (access to appointments), which accounted for 69.45% of substantive problem reports and 40.92% of all negative reviews.</w:t>
      </w:r>
    </w:p>
    <w:p>
      <w:pPr>
        <w:ind w:left="454"/>
        <w:jc w:val="both"/>
      </w:pPr>
    </w:p>
    <w:p>
      <w:pPr>
        <w:ind w:left="454"/>
        <w:jc w:val="both"/>
      </w:pPr>
      <w:r>
        <w:rPr>
          <w:rFonts w:ascii="Arial" w:hAnsi="Arial" w:eastAsia="Arial"/>
          <w:b w:val="0"/>
          <w:sz w:val="21"/>
        </w:rPr>
        <w:t>Regarding Costa Rica's health expenditure:</w:t>
      </w:r>
    </w:p>
    <w:p>
      <w:pPr>
        <w:ind w:left="454"/>
        <w:jc w:val="both"/>
      </w:pPr>
    </w:p>
    <w:p>
      <w:pPr>
        <w:ind w:left="454"/>
        <w:jc w:val="both"/>
      </w:pPr>
      <w:r>
        <w:rPr>
          <w:rFonts w:ascii="Arial" w:hAnsi="Arial" w:eastAsia="Arial"/>
          <w:b w:val="0"/>
          <w:sz w:val="21"/>
        </w:rPr>
        <w:t xml:space="preserve">1. </w:t>
      </w:r>
      <w:r>
        <w:rPr>
          <w:rFonts w:ascii="Arial" w:hAnsi="Arial" w:eastAsia="Arial"/>
          <w:b/>
          <w:sz w:val="21"/>
        </w:rPr>
        <w:t>World Bank Data</w:t>
      </w:r>
      <w:r>
        <w:rPr>
          <w:rFonts w:ascii="Arial" w:hAnsi="Arial" w:eastAsia="Arial"/>
          <w:b w:val="0"/>
          <w:sz w:val="21"/>
        </w:rPr>
        <w:t>: The domestic general government health expenditure as a percentage of general government expenditure was:</w:t>
      </w:r>
    </w:p>
    <w:p>
      <w:pPr>
        <w:ind w:left="454"/>
        <w:jc w:val="both"/>
      </w:pPr>
      <w:r>
        <w:rPr>
          <w:rFonts w:ascii="Arial" w:hAnsi="Arial" w:eastAsia="Arial"/>
          <w:b w:val="0"/>
          <w:sz w:val="21"/>
        </w:rPr>
        <w:t>- 2019: 24.15%</w:t>
      </w:r>
    </w:p>
    <w:p>
      <w:pPr>
        <w:ind w:left="454"/>
        <w:jc w:val="both"/>
      </w:pPr>
      <w:r>
        <w:rPr>
          <w:rFonts w:ascii="Arial" w:hAnsi="Arial" w:eastAsia="Arial"/>
          <w:b w:val="0"/>
          <w:sz w:val="21"/>
        </w:rPr>
        <w:t>- 2020: 25.21%</w:t>
      </w:r>
    </w:p>
    <w:p>
      <w:pPr>
        <w:ind w:left="454"/>
        <w:jc w:val="both"/>
      </w:pPr>
      <w:r>
        <w:rPr>
          <w:rFonts w:ascii="Arial" w:hAnsi="Arial" w:eastAsia="Arial"/>
          <w:b w:val="0"/>
          <w:sz w:val="21"/>
        </w:rPr>
        <w:t>- 2021: 25.77%</w:t>
      </w:r>
    </w:p>
    <w:p>
      <w:pPr>
        <w:ind w:left="454"/>
        <w:jc w:val="both"/>
      </w:pPr>
    </w:p>
    <w:p>
      <w:pPr>
        <w:ind w:left="454"/>
        <w:jc w:val="both"/>
      </w:pPr>
      <w:r>
        <w:rPr>
          <w:rFonts w:ascii="Arial" w:hAnsi="Arial" w:eastAsia="Arial"/>
          <w:b w:val="0"/>
          <w:sz w:val="21"/>
        </w:rPr>
        <w:t xml:space="preserve">2. </w:t>
      </w:r>
      <w:r>
        <w:rPr>
          <w:rFonts w:ascii="Arial" w:hAnsi="Arial" w:eastAsia="Arial"/>
          <w:b/>
          <w:sz w:val="21"/>
        </w:rPr>
        <w:t>OECD Data</w:t>
      </w:r>
      <w:r>
        <w:rPr>
          <w:rFonts w:ascii="Arial" w:hAnsi="Arial" w:eastAsia="Arial"/>
          <w:b w:val="0"/>
          <w:sz w:val="21"/>
        </w:rPr>
        <w:t>: The health expenditure as a percentage of GDP was:</w:t>
      </w:r>
    </w:p>
    <w:p>
      <w:pPr>
        <w:ind w:left="454"/>
        <w:jc w:val="both"/>
      </w:pPr>
      <w:r>
        <w:rPr>
          <w:rFonts w:ascii="Arial" w:hAnsi="Arial" w:eastAsia="Arial"/>
          <w:b w:val="0"/>
          <w:sz w:val="21"/>
        </w:rPr>
        <w:t>- 2019: 7.22%</w:t>
      </w:r>
    </w:p>
    <w:p>
      <w:pPr>
        <w:ind w:left="454"/>
        <w:jc w:val="both"/>
      </w:pPr>
      <w:r>
        <w:rPr>
          <w:rFonts w:ascii="Arial" w:hAnsi="Arial" w:eastAsia="Arial"/>
          <w:b w:val="0"/>
          <w:sz w:val="21"/>
        </w:rPr>
        <w:t>- 2020: 7.83%</w:t>
      </w:r>
    </w:p>
    <w:p>
      <w:pPr>
        <w:ind w:left="454"/>
        <w:jc w:val="both"/>
      </w:pPr>
      <w:r>
        <w:rPr>
          <w:rFonts w:ascii="Arial" w:hAnsi="Arial" w:eastAsia="Arial"/>
          <w:b w:val="0"/>
          <w:sz w:val="21"/>
        </w:rPr>
        <w:t>- 2021: 7.61%</w:t>
      </w:r>
    </w:p>
    <w:p>
      <w:pPr>
        <w:ind w:left="454"/>
        <w:jc w:val="both"/>
      </w:pPr>
    </w:p>
    <w:p>
      <w:pPr>
        <w:ind w:left="454"/>
        <w:jc w:val="both"/>
      </w:pPr>
      <w:r>
        <w:rPr>
          <w:rFonts w:ascii="Arial" w:hAnsi="Arial" w:eastAsia="Arial"/>
          <w:b w:val="0"/>
          <w:sz w:val="21"/>
        </w:rPr>
        <w:t>These figures indicate an increase in both the share of government expenditure dedicated to health and the health expenditure as a percentage of GDP during this period.</w:t>
      </w:r>
    </w:p>
    <w:p>
      <w:pPr>
        <w:jc w:val="center"/>
      </w:pPr>
      <w:r>
        <w:t>____________________________________________________________</w:t>
      </w:r>
    </w:p>
    <w:p>
      <w:pPr>
        <w:keepNext/>
        <w:spacing w:before="240"/>
        <w:jc w:val="left"/>
      </w:pPr>
      <w:r>
        <w:rPr>
          <w:rFonts w:ascii="Arial" w:hAnsi="Arial" w:eastAsia="Arial"/>
          <w:b/>
          <w:color w:val="1B4F72"/>
          <w:sz w:val="26"/>
        </w:rPr>
        <w:t>R12</w:t>
      </w:r>
    </w:p>
    <w:p>
      <w:pPr>
        <w:spacing w:after="120"/>
        <w:jc w:val="both"/>
      </w:pPr>
      <w:r>
        <w:rPr>
          <w:rFonts w:ascii="Arial" w:hAnsi="Arial" w:eastAsia="Arial"/>
          <w:b/>
          <w:sz w:val="22"/>
        </w:rPr>
        <w:t>Pregunta:</w:t>
      </w:r>
      <w:r>
        <w:rPr>
          <w:rFonts w:ascii="Arial" w:hAnsi="Arial" w:eastAsia="Arial"/>
          <w:b w:val="0"/>
          <w:sz w:val="22"/>
        </w:rPr>
        <w:t xml:space="preserve"> For 2021, compare Costa Rica's health expenditure as a percentage of GDP according to the World Bank and the OECD. Do the values match at three decimal places, and what is their native-precision difference in percentage points?</w:t>
      </w:r>
    </w:p>
    <w:p>
      <w:pPr>
        <w:spacing w:after="120"/>
        <w:jc w:val="both"/>
      </w:pPr>
      <w:r>
        <w:rPr>
          <w:rFonts w:ascii="Arial" w:hAnsi="Arial" w:eastAsia="Arial"/>
          <w:b/>
          <w:sz w:val="22"/>
        </w:rPr>
        <w:t>Llamadas a herramientas (en el orden emitido):</w:t>
      </w:r>
    </w:p>
    <w:p>
      <w:pPr>
        <w:ind w:left="454" w:hanging="283"/>
        <w:jc w:val="left"/>
      </w:pPr>
      <w:r>
        <w:rPr>
          <w:rFonts w:ascii="Arial" w:hAnsi="Arial" w:eastAsia="Arial"/>
          <w:b w:val="0"/>
          <w:sz w:val="22"/>
        </w:rPr>
        <w:t xml:space="preserve">1. </w:t>
      </w:r>
      <w:r>
        <w:rPr>
          <w:rFonts w:ascii="Consolas" w:hAnsi="Consolas" w:eastAsia="Consolas"/>
          <w:sz w:val="18"/>
        </w:rPr>
        <w:t>get_worldbank_indicator</w:t>
      </w:r>
      <w:r>
        <w:rPr>
          <w:rFonts w:ascii="Arial" w:hAnsi="Arial" w:eastAsia="Arial"/>
          <w:b w:val="0"/>
          <w:sz w:val="22"/>
        </w:rPr>
        <w:t xml:space="preserve"> — argumentos: </w:t>
      </w:r>
      <w:r>
        <w:rPr>
          <w:rFonts w:ascii="Consolas" w:hAnsi="Consolas" w:eastAsia="Consolas"/>
          <w:sz w:val="18"/>
        </w:rPr>
        <w:t>{"country_iso3": "CRI", "indicator": "current_health_expenditure_pct_gdp", "start_year": 2021, "end_year": 2021}</w:t>
      </w:r>
    </w:p>
    <w:p>
      <w:pPr>
        <w:spacing w:after="120"/>
        <w:jc w:val="both"/>
      </w:pPr>
      <w:r>
        <w:rPr>
          <w:rFonts w:ascii="Arial" w:hAnsi="Arial" w:eastAsia="Arial"/>
          <w:b w:val="0"/>
          <w:sz w:val="22"/>
        </w:rPr>
        <w:t>Resultado: OK</w:t>
      </w:r>
    </w:p>
    <w:p>
      <w:pPr>
        <w:ind w:left="454"/>
        <w:jc w:val="left"/>
      </w:pPr>
      <w:r>
        <w:rPr>
          <w:rFonts w:ascii="Consolas" w:hAnsi="Consolas" w:eastAsia="Consolas"/>
          <w:sz w:val="18"/>
        </w:rPr>
        <w:t>{"source": "World Bank", "indicator_code": "SH.XPD.CHEX.GD.ZS", "indicator_name": "Current health expenditure (% of GDP)", "country_iso3": "CRI", "observations": [{"year": "2021", "value": 7.61130476}], "query_url": "https://api.worldbank.org/v2/country/CRI/indicator/SH.XPD.CHEX.GD.ZS?format=json&amp;per_page=1000&amp;date=2021%3A2021"}</w:t>
      </w:r>
    </w:p>
    <w:p>
      <w:pPr>
        <w:ind w:left="454" w:hanging="283"/>
        <w:jc w:val="left"/>
      </w:pPr>
      <w:r>
        <w:rPr>
          <w:rFonts w:ascii="Arial" w:hAnsi="Arial" w:eastAsia="Arial"/>
          <w:b w:val="0"/>
          <w:sz w:val="22"/>
        </w:rPr>
        <w:t xml:space="preserve">2. </w:t>
      </w:r>
      <w:r>
        <w:rPr>
          <w:rFonts w:ascii="Consolas" w:hAnsi="Consolas" w:eastAsia="Consolas"/>
          <w:sz w:val="18"/>
        </w:rPr>
        <w:t>get_oecd_indicator</w:t>
      </w:r>
      <w:r>
        <w:rPr>
          <w:rFonts w:ascii="Arial" w:hAnsi="Arial" w:eastAsia="Arial"/>
          <w:b w:val="0"/>
          <w:sz w:val="22"/>
        </w:rPr>
        <w:t xml:space="preserve"> — argumentos: </w:t>
      </w:r>
      <w:r>
        <w:rPr>
          <w:rFonts w:ascii="Consolas" w:hAnsi="Consolas" w:eastAsia="Consolas"/>
          <w:sz w:val="18"/>
        </w:rPr>
        <w:t>{"country_iso3": "CRI", "indicator": "health_expenditure_pct_gdp", "start_period": "2021"}</w:t>
      </w:r>
    </w:p>
    <w:p>
      <w:pPr>
        <w:spacing w:after="120"/>
        <w:jc w:val="both"/>
      </w:pPr>
      <w:r>
        <w:rPr>
          <w:rFonts w:ascii="Arial" w:hAnsi="Arial" w:eastAsia="Arial"/>
          <w:b w:val="0"/>
          <w:sz w:val="22"/>
        </w:rPr>
        <w:t>Resultado: OK</w:t>
      </w:r>
    </w:p>
    <w:p>
      <w:pPr>
        <w:ind w:left="454"/>
        <w:jc w:val="left"/>
      </w:pPr>
      <w:r>
        <w:rPr>
          <w:rFonts w:ascii="Consolas" w:hAnsi="Consolas" w:eastAsia="Consolas"/>
          <w:sz w:val="18"/>
        </w:rPr>
        <w:t>{"source": "OECD", "dataflow": "OECD.ELS.HD,DSD_SHA@DF_SHA,", "key": "CRI.A.EXP_HEALTH.PT_B1GQ._T._Z._T._T._T._Z._Z._Z", "country_iso3": "CRI", "observations": [{"year": "2021", "value": 7.611}, {"year": "2022", "value": 7.184}, {"year": "2023", "value": 6.866}, {"year": "2024", "value": 6.91}, {"year": "2025", "value": 6.776}], "query_url": "https://sdmx.oecd.org/public/rest/data/OECD.ELS.HD,DSD_SHA@DF_SHA,/CRI.A.EXP_HEALTH.PT_B1GQ._T._Z._T._T._T._Z._Z._Z?startPeriod=2021", "response_meta": {"schema": "https://raw.githubusercontent.com/sdmx-twg/sdmx-json/master/data-message/tools/schemas/2.0.0/sdmx-json-data-schema.json", "id": "IREF001005", "prepared": "2026-09-07T02:46:32Z", "test": false, "contentLanguages": ["en", "en-US"], "sender": {"id": "Disseminate_Final_DMZ", "name": "unknown", "names": {"en-US": "unknown"}}}}</w:t>
      </w:r>
    </w:p>
    <w:p>
      <w:pPr>
        <w:spacing w:after="120"/>
        <w:jc w:val="both"/>
      </w:pPr>
      <w:r>
        <w:rPr>
          <w:rFonts w:ascii="Arial" w:hAnsi="Arial" w:eastAsia="Arial"/>
          <w:b/>
          <w:sz w:val="22"/>
        </w:rPr>
        <w:t>Respuesta final del sistema:</w:t>
      </w:r>
    </w:p>
    <w:p>
      <w:pPr>
        <w:ind w:left="454"/>
        <w:jc w:val="both"/>
      </w:pPr>
      <w:r>
        <w:rPr>
          <w:rFonts w:ascii="Arial" w:hAnsi="Arial" w:eastAsia="Arial"/>
          <w:b w:val="0"/>
          <w:sz w:val="21"/>
        </w:rPr>
        <w:t>For the year 2021, Costa Rica's health expenditure as a percentage of GDP is reported as follows:</w:t>
      </w:r>
    </w:p>
    <w:p>
      <w:pPr>
        <w:ind w:left="454"/>
        <w:jc w:val="both"/>
      </w:pPr>
    </w:p>
    <w:p>
      <w:pPr>
        <w:ind w:left="454"/>
        <w:jc w:val="both"/>
      </w:pPr>
      <w:r>
        <w:rPr>
          <w:rFonts w:ascii="Arial" w:hAnsi="Arial" w:eastAsia="Arial"/>
          <w:b w:val="0"/>
          <w:sz w:val="21"/>
        </w:rPr>
        <w:t xml:space="preserve">- </w:t>
      </w:r>
      <w:r>
        <w:rPr>
          <w:rFonts w:ascii="Arial" w:hAnsi="Arial" w:eastAsia="Arial"/>
          <w:b/>
          <w:sz w:val="21"/>
        </w:rPr>
        <w:t>World Bank</w:t>
      </w:r>
      <w:r>
        <w:rPr>
          <w:rFonts w:ascii="Arial" w:hAnsi="Arial" w:eastAsia="Arial"/>
          <w:b w:val="0"/>
          <w:sz w:val="21"/>
        </w:rPr>
        <w:t>: 7.61130476%</w:t>
      </w:r>
    </w:p>
    <w:p>
      <w:pPr>
        <w:ind w:left="454"/>
        <w:jc w:val="both"/>
      </w:pPr>
      <w:r>
        <w:rPr>
          <w:rFonts w:ascii="Arial" w:hAnsi="Arial" w:eastAsia="Arial"/>
          <w:b w:val="0"/>
          <w:sz w:val="21"/>
        </w:rPr>
        <w:t xml:space="preserve">- </w:t>
      </w:r>
      <w:r>
        <w:rPr>
          <w:rFonts w:ascii="Arial" w:hAnsi="Arial" w:eastAsia="Arial"/>
          <w:b/>
          <w:sz w:val="21"/>
        </w:rPr>
        <w:t>OECD</w:t>
      </w:r>
      <w:r>
        <w:rPr>
          <w:rFonts w:ascii="Arial" w:hAnsi="Arial" w:eastAsia="Arial"/>
          <w:b w:val="0"/>
          <w:sz w:val="21"/>
        </w:rPr>
        <w:t>: 7.611%</w:t>
      </w:r>
    </w:p>
    <w:p>
      <w:pPr>
        <w:ind w:left="454"/>
        <w:jc w:val="both"/>
      </w:pPr>
    </w:p>
    <w:p>
      <w:pPr>
        <w:ind w:left="454"/>
        <w:jc w:val="both"/>
      </w:pPr>
      <w:r>
        <w:rPr>
          <w:rFonts w:ascii="Arial" w:hAnsi="Arial" w:eastAsia="Arial"/>
          <w:b w:val="0"/>
          <w:sz w:val="21"/>
        </w:rPr>
        <w:t>The values do not match at three decimal places. The native-precision difference between the two values is approximately 0.00030476 percentage points.</w:t>
      </w:r>
    </w:p>
    <w:p>
      <w:pPr>
        <w:jc w:val="center"/>
      </w:pPr>
      <w:r>
        <w:t>____________________________________________________________</w:t>
      </w:r>
    </w:p>
    <w:p>
      <w:pPr>
        <w:keepNext/>
        <w:spacing w:before="240"/>
        <w:jc w:val="left"/>
      </w:pPr>
      <w:r>
        <w:rPr>
          <w:rFonts w:ascii="Arial" w:hAnsi="Arial" w:eastAsia="Arial"/>
          <w:b/>
          <w:color w:val="1B4F72"/>
          <w:sz w:val="26"/>
        </w:rPr>
        <w:t>R13</w:t>
      </w:r>
    </w:p>
    <w:p>
      <w:pPr>
        <w:spacing w:after="120"/>
        <w:jc w:val="both"/>
      </w:pPr>
      <w:r>
        <w:rPr>
          <w:rFonts w:ascii="Arial" w:hAnsi="Arial" w:eastAsia="Arial"/>
          <w:b/>
          <w:sz w:val="22"/>
        </w:rPr>
        <w:t>Pregunta:</w:t>
      </w:r>
      <w:r>
        <w:rPr>
          <w:rFonts w:ascii="Arial" w:hAnsi="Arial" w:eastAsia="Arial"/>
          <w:b w:val="0"/>
          <w:sz w:val="22"/>
        </w:rPr>
        <w:t xml:space="preserve"> For 2021, compare Costa Rica's health expenditure as a percentage of GDP according to the World Bank and the OECD. Do the values match at three decimal places, and what is their native-precision difference in percentage points?</w:t>
      </w:r>
    </w:p>
    <w:p>
      <w:pPr>
        <w:spacing w:after="120"/>
        <w:jc w:val="both"/>
      </w:pPr>
      <w:r>
        <w:rPr>
          <w:rFonts w:ascii="Arial" w:hAnsi="Arial" w:eastAsia="Arial"/>
          <w:b/>
          <w:sz w:val="22"/>
        </w:rPr>
        <w:t>Llamadas a herramientas (en el orden emitido):</w:t>
      </w:r>
    </w:p>
    <w:p>
      <w:pPr>
        <w:ind w:left="454" w:hanging="283"/>
        <w:jc w:val="left"/>
      </w:pPr>
      <w:r>
        <w:rPr>
          <w:rFonts w:ascii="Arial" w:hAnsi="Arial" w:eastAsia="Arial"/>
          <w:b w:val="0"/>
          <w:sz w:val="22"/>
        </w:rPr>
        <w:t xml:space="preserve">1. </w:t>
      </w:r>
      <w:r>
        <w:rPr>
          <w:rFonts w:ascii="Consolas" w:hAnsi="Consolas" w:eastAsia="Consolas"/>
          <w:sz w:val="18"/>
        </w:rPr>
        <w:t>get_worldbank_indicator</w:t>
      </w:r>
      <w:r>
        <w:rPr>
          <w:rFonts w:ascii="Arial" w:hAnsi="Arial" w:eastAsia="Arial"/>
          <w:b w:val="0"/>
          <w:sz w:val="22"/>
        </w:rPr>
        <w:t xml:space="preserve"> — argumentos: </w:t>
      </w:r>
      <w:r>
        <w:rPr>
          <w:rFonts w:ascii="Consolas" w:hAnsi="Consolas" w:eastAsia="Consolas"/>
          <w:sz w:val="18"/>
        </w:rPr>
        <w:t>{"end_year": 2021, "indicator": "current_health_expenditure_pct_gdp", "country_iso3": "CRI", "start_year": 2021}</w:t>
      </w:r>
    </w:p>
    <w:p>
      <w:pPr>
        <w:spacing w:after="120"/>
        <w:jc w:val="both"/>
      </w:pPr>
      <w:r>
        <w:rPr>
          <w:rFonts w:ascii="Arial" w:hAnsi="Arial" w:eastAsia="Arial"/>
          <w:b w:val="0"/>
          <w:sz w:val="22"/>
        </w:rPr>
        <w:t>Resultado: OK</w:t>
      </w:r>
    </w:p>
    <w:p>
      <w:pPr>
        <w:ind w:left="454"/>
        <w:jc w:val="left"/>
      </w:pPr>
      <w:r>
        <w:rPr>
          <w:rFonts w:ascii="Consolas" w:hAnsi="Consolas" w:eastAsia="Consolas"/>
          <w:sz w:val="18"/>
        </w:rPr>
        <w:t>{"source": "World Bank", "indicator_code": "SH.XPD.CHEX.GD.ZS", "indicator_name": "Current health expenditure (% of GDP)", "country_iso3": "CRI", "observations": [{"year": "2021", "value": 7.61130476}], "query_url": "https://api.worldbank.org/v2/country/CRI/indicator/SH.XPD.CHEX.GD.ZS?format=json&amp;per_page=1000&amp;date=2021%3A2021"}</w:t>
      </w:r>
    </w:p>
    <w:p>
      <w:pPr>
        <w:ind w:left="454" w:hanging="283"/>
        <w:jc w:val="left"/>
      </w:pPr>
      <w:r>
        <w:rPr>
          <w:rFonts w:ascii="Arial" w:hAnsi="Arial" w:eastAsia="Arial"/>
          <w:b w:val="0"/>
          <w:sz w:val="22"/>
        </w:rPr>
        <w:t xml:space="preserve">2. </w:t>
      </w:r>
      <w:r>
        <w:rPr>
          <w:rFonts w:ascii="Consolas" w:hAnsi="Consolas" w:eastAsia="Consolas"/>
          <w:sz w:val="18"/>
        </w:rPr>
        <w:t>get_oecd_indicator</w:t>
      </w:r>
      <w:r>
        <w:rPr>
          <w:rFonts w:ascii="Arial" w:hAnsi="Arial" w:eastAsia="Arial"/>
          <w:b w:val="0"/>
          <w:sz w:val="22"/>
        </w:rPr>
        <w:t xml:space="preserve"> — argumentos: </w:t>
      </w:r>
      <w:r>
        <w:rPr>
          <w:rFonts w:ascii="Consolas" w:hAnsi="Consolas" w:eastAsia="Consolas"/>
          <w:sz w:val="18"/>
        </w:rPr>
        <w:t>{"start_period": "2021", "country_iso3": "CRI", "indicator": "health_expenditure_pct_gdp"}</w:t>
      </w:r>
    </w:p>
    <w:p>
      <w:pPr>
        <w:spacing w:after="120"/>
        <w:jc w:val="both"/>
      </w:pPr>
      <w:r>
        <w:rPr>
          <w:rFonts w:ascii="Arial" w:hAnsi="Arial" w:eastAsia="Arial"/>
          <w:b w:val="0"/>
          <w:sz w:val="22"/>
        </w:rPr>
        <w:t>Resultado: OK</w:t>
      </w:r>
    </w:p>
    <w:p>
      <w:pPr>
        <w:ind w:left="454"/>
        <w:jc w:val="left"/>
      </w:pPr>
      <w:r>
        <w:rPr>
          <w:rFonts w:ascii="Consolas" w:hAnsi="Consolas" w:eastAsia="Consolas"/>
          <w:sz w:val="18"/>
        </w:rPr>
        <w:t>{"source": "OECD", "dataflow": "OECD.ELS.HD,DSD_SHA@DF_SHA,", "key": "CRI.A.EXP_HEALTH.PT_B1GQ._T._Z._T._T._T._Z._Z._Z", "country_iso3": "CRI", "observations": [{"year": "2021", "value": 7.611}, {"year": "2022", "value": 7.184}, {"year": "2023", "value": 6.866}, {"year": "2024", "value": 6.91}, {"year": "2025", "value": 6.776}], "query_url": "https://sdmx.oecd.org/public/rest/data/OECD.ELS.HD,DSD_SHA@DF_SHA,/CRI.A.EXP_HEALTH.PT_B1GQ._T._Z._T._T._T._Z._Z._Z?startPeriod=2021", "response_meta": {"schema": "https://raw.githubusercontent.com/sdmx-twg/sdmx-json/master/data-message/tools/schemas/2.0.0/sdmx-json-data-schema.json", "id": "IREF001005", "prepared": "2026-09-07T02:46:32Z", "test": false, "contentLanguages": ["en", "en-US"], "sender": {"id": "Disseminate_Final_DMZ", "name": "unknown", "names": {"en-US": "unknown"}}}}</w:t>
      </w:r>
    </w:p>
    <w:p>
      <w:pPr>
        <w:spacing w:after="120"/>
        <w:jc w:val="both"/>
      </w:pPr>
      <w:r>
        <w:rPr>
          <w:rFonts w:ascii="Arial" w:hAnsi="Arial" w:eastAsia="Arial"/>
          <w:b/>
          <w:sz w:val="22"/>
        </w:rPr>
        <w:t>Respuesta final del sistema:</w:t>
      </w:r>
    </w:p>
    <w:p>
      <w:pPr>
        <w:ind w:left="454"/>
        <w:jc w:val="both"/>
      </w:pPr>
      <w:r>
        <w:rPr>
          <w:rFonts w:ascii="Arial" w:hAnsi="Arial" w:eastAsia="Arial"/>
          <w:b w:val="0"/>
          <w:sz w:val="21"/>
        </w:rPr>
        <w:t xml:space="preserve">Based on the data retrieved from both institutional sources for Costa Rica in </w:t>
      </w:r>
      <w:r>
        <w:rPr>
          <w:rFonts w:ascii="Arial" w:hAnsi="Arial" w:eastAsia="Arial"/>
          <w:b/>
          <w:sz w:val="21"/>
        </w:rPr>
        <w:t>2021</w:t>
      </w:r>
      <w:r>
        <w:rPr>
          <w:rFonts w:ascii="Arial" w:hAnsi="Arial" w:eastAsia="Arial"/>
          <w:b w:val="0"/>
          <w:sz w:val="21"/>
        </w:rPr>
        <w:t>:</w:t>
      </w:r>
    </w:p>
    <w:p>
      <w:pPr>
        <w:ind w:left="454"/>
        <w:jc w:val="both"/>
      </w:pPr>
    </w:p>
    <w:p>
      <w:pPr>
        <w:ind w:left="454"/>
        <w:jc w:val="both"/>
      </w:pPr>
      <w:r>
        <w:rPr>
          <w:rFonts w:ascii="Arial" w:hAnsi="Arial" w:eastAsia="Arial"/>
          <w:b w:val="0"/>
          <w:sz w:val="21"/>
        </w:rPr>
        <w:t>### 1. Retrieved Values</w:t>
      </w:r>
    </w:p>
    <w:p>
      <w:pPr>
        <w:ind w:left="454"/>
        <w:jc w:val="both"/>
      </w:pPr>
      <w:r>
        <w:rPr>
          <w:rFonts w:ascii="Arial" w:hAnsi="Arial" w:eastAsia="Arial"/>
          <w:b w:val="0"/>
          <w:sz w:val="21"/>
        </w:rPr>
        <w:t xml:space="preserve">* </w:t>
      </w:r>
      <w:r>
        <w:rPr>
          <w:rFonts w:ascii="Arial" w:hAnsi="Arial" w:eastAsia="Arial"/>
          <w:b/>
          <w:sz w:val="21"/>
        </w:rPr>
        <w:t>World Bank:</w:t>
      </w:r>
      <w:r>
        <w:rPr>
          <w:rFonts w:ascii="Arial" w:hAnsi="Arial" w:eastAsia="Arial"/>
          <w:b w:val="0"/>
          <w:sz w:val="21"/>
        </w:rPr>
        <w:t xml:space="preserve"> </w:t>
      </w:r>
      <w:r>
        <w:rPr>
          <w:rFonts w:ascii="Consolas" w:hAnsi="Consolas" w:eastAsia="Consolas"/>
          <w:sz w:val="17"/>
        </w:rPr>
        <w:t>7.61130476%</w:t>
      </w:r>
      <w:r>
        <w:rPr>
          <w:rFonts w:ascii="Arial" w:hAnsi="Arial" w:eastAsia="Arial"/>
          <w:b w:val="0"/>
          <w:sz w:val="21"/>
        </w:rPr>
        <w:t xml:space="preserve"> (Current health expenditure as a % of GDP)</w:t>
      </w:r>
    </w:p>
    <w:p>
      <w:pPr>
        <w:ind w:left="454"/>
        <w:jc w:val="both"/>
      </w:pPr>
      <w:r>
        <w:rPr>
          <w:rFonts w:ascii="Arial" w:hAnsi="Arial" w:eastAsia="Arial"/>
          <w:b w:val="0"/>
          <w:sz w:val="21"/>
        </w:rPr>
        <w:t xml:space="preserve">* </w:t>
      </w:r>
      <w:r>
        <w:rPr>
          <w:rFonts w:ascii="Arial" w:hAnsi="Arial" w:eastAsia="Arial"/>
          <w:b/>
          <w:sz w:val="21"/>
        </w:rPr>
        <w:t>OECD:</w:t>
      </w:r>
      <w:r>
        <w:rPr>
          <w:rFonts w:ascii="Arial" w:hAnsi="Arial" w:eastAsia="Arial"/>
          <w:b w:val="0"/>
          <w:sz w:val="21"/>
        </w:rPr>
        <w:t xml:space="preserve"> </w:t>
      </w:r>
      <w:r>
        <w:rPr>
          <w:rFonts w:ascii="Consolas" w:hAnsi="Consolas" w:eastAsia="Consolas"/>
          <w:sz w:val="17"/>
        </w:rPr>
        <w:t>7.611%</w:t>
      </w:r>
      <w:r>
        <w:rPr>
          <w:rFonts w:ascii="Arial" w:hAnsi="Arial" w:eastAsia="Arial"/>
          <w:b w:val="0"/>
          <w:sz w:val="21"/>
        </w:rPr>
        <w:t xml:space="preserve"> (Health expenditure as a % of GDP)</w:t>
      </w:r>
    </w:p>
    <w:p>
      <w:pPr>
        <w:ind w:left="454"/>
        <w:jc w:val="both"/>
      </w:pPr>
    </w:p>
    <w:p>
      <w:pPr>
        <w:ind w:left="454"/>
        <w:jc w:val="both"/>
      </w:pPr>
      <w:r>
        <w:rPr>
          <w:rFonts w:ascii="Arial" w:hAnsi="Arial" w:eastAsia="Arial"/>
          <w:b w:val="0"/>
          <w:sz w:val="21"/>
        </w:rPr>
        <w:t>---</w:t>
      </w:r>
    </w:p>
    <w:p>
      <w:pPr>
        <w:ind w:left="454"/>
        <w:jc w:val="both"/>
      </w:pPr>
    </w:p>
    <w:p>
      <w:pPr>
        <w:ind w:left="454"/>
        <w:jc w:val="both"/>
      </w:pPr>
      <w:r>
        <w:rPr>
          <w:rFonts w:ascii="Arial" w:hAnsi="Arial" w:eastAsia="Arial"/>
          <w:b w:val="0"/>
          <w:sz w:val="21"/>
        </w:rPr>
        <w:t>### 2. Comparison at Three Decimal Places</w:t>
      </w:r>
    </w:p>
    <w:p>
      <w:pPr>
        <w:ind w:left="454"/>
        <w:jc w:val="both"/>
      </w:pPr>
      <w:r>
        <w:rPr>
          <w:rFonts w:ascii="Arial" w:hAnsi="Arial" w:eastAsia="Arial"/>
          <w:b w:val="0"/>
          <w:sz w:val="21"/>
        </w:rPr>
        <w:t xml:space="preserve">* </w:t>
      </w:r>
      <w:r>
        <w:rPr>
          <w:rFonts w:ascii="Arial" w:hAnsi="Arial" w:eastAsia="Arial"/>
          <w:b/>
          <w:sz w:val="21"/>
        </w:rPr>
        <w:t>World Bank (rounded to 3 decimal places):</w:t>
      </w:r>
      <w:r>
        <w:rPr>
          <w:rFonts w:ascii="Arial" w:hAnsi="Arial" w:eastAsia="Arial"/>
          <w:b w:val="0"/>
          <w:sz w:val="21"/>
        </w:rPr>
        <w:t xml:space="preserve"> </w:t>
      </w:r>
      <w:r>
        <w:rPr>
          <w:rFonts w:ascii="Consolas" w:hAnsi="Consolas" w:eastAsia="Consolas"/>
          <w:sz w:val="17"/>
        </w:rPr>
        <w:t>7.611%</w:t>
      </w:r>
    </w:p>
    <w:p>
      <w:pPr>
        <w:ind w:left="454"/>
        <w:jc w:val="both"/>
      </w:pPr>
      <w:r>
        <w:rPr>
          <w:rFonts w:ascii="Arial" w:hAnsi="Arial" w:eastAsia="Arial"/>
          <w:b w:val="0"/>
          <w:sz w:val="21"/>
        </w:rPr>
        <w:t xml:space="preserve">* </w:t>
      </w:r>
      <w:r>
        <w:rPr>
          <w:rFonts w:ascii="Arial" w:hAnsi="Arial" w:eastAsia="Arial"/>
          <w:b/>
          <w:sz w:val="21"/>
        </w:rPr>
        <w:t>OECD (native 3 decimal places):</w:t>
      </w:r>
      <w:r>
        <w:rPr>
          <w:rFonts w:ascii="Arial" w:hAnsi="Arial" w:eastAsia="Arial"/>
          <w:b w:val="0"/>
          <w:sz w:val="21"/>
        </w:rPr>
        <w:t xml:space="preserve"> </w:t>
      </w:r>
      <w:r>
        <w:rPr>
          <w:rFonts w:ascii="Consolas" w:hAnsi="Consolas" w:eastAsia="Consolas"/>
          <w:sz w:val="17"/>
        </w:rPr>
        <w:t>7.611%</w:t>
      </w:r>
    </w:p>
    <w:p>
      <w:pPr>
        <w:ind w:left="454"/>
        <w:jc w:val="both"/>
      </w:pPr>
    </w:p>
    <w:p>
      <w:pPr>
        <w:ind w:left="454"/>
        <w:jc w:val="both"/>
      </w:pPr>
      <w:r>
        <w:rPr>
          <w:rFonts w:ascii="Arial" w:hAnsi="Arial" w:eastAsia="Arial"/>
          <w:b/>
          <w:sz w:val="21"/>
        </w:rPr>
        <w:t>Yes</w:t>
      </w:r>
      <w:r>
        <w:rPr>
          <w:rFonts w:ascii="Arial" w:hAnsi="Arial" w:eastAsia="Arial"/>
          <w:b w:val="0"/>
          <w:sz w:val="21"/>
        </w:rPr>
        <w:t>, the values match exactly at three decimal places.</w:t>
      </w:r>
    </w:p>
    <w:p>
      <w:pPr>
        <w:ind w:left="454"/>
        <w:jc w:val="both"/>
      </w:pPr>
    </w:p>
    <w:p>
      <w:pPr>
        <w:ind w:left="454"/>
        <w:jc w:val="both"/>
      </w:pPr>
      <w:r>
        <w:rPr>
          <w:rFonts w:ascii="Arial" w:hAnsi="Arial" w:eastAsia="Arial"/>
          <w:b w:val="0"/>
          <w:sz w:val="21"/>
        </w:rPr>
        <w:t>---</w:t>
      </w:r>
    </w:p>
    <w:p>
      <w:pPr>
        <w:ind w:left="454"/>
        <w:jc w:val="both"/>
      </w:pPr>
    </w:p>
    <w:p>
      <w:pPr>
        <w:ind w:left="454"/>
        <w:jc w:val="both"/>
      </w:pPr>
      <w:r>
        <w:rPr>
          <w:rFonts w:ascii="Arial" w:hAnsi="Arial" w:eastAsia="Arial"/>
          <w:b w:val="0"/>
          <w:sz w:val="21"/>
        </w:rPr>
        <w:t>### 3. Native-Precision Difference</w:t>
      </w:r>
    </w:p>
    <w:p>
      <w:pPr>
        <w:ind w:left="454"/>
        <w:jc w:val="both"/>
      </w:pPr>
      <w:r>
        <w:rPr>
          <w:rFonts w:ascii="Arial" w:hAnsi="Arial" w:eastAsia="Arial"/>
          <w:b w:val="0"/>
          <w:sz w:val="21"/>
        </w:rPr>
        <w:t>The difference between the two native-precision values is:</w:t>
      </w:r>
    </w:p>
    <w:p>
      <w:pPr>
        <w:ind w:left="454"/>
        <w:jc w:val="both"/>
      </w:pPr>
    </w:p>
    <w:p>
      <w:pPr>
        <w:ind w:left="454"/>
        <w:jc w:val="both"/>
      </w:pPr>
      <w:r>
        <w:rPr>
          <w:rFonts w:ascii="Arial" w:hAnsi="Arial" w:eastAsia="Arial"/>
          <w:b w:val="0"/>
          <w:sz w:val="21"/>
        </w:rPr>
        <w:t>$$\text{Difference} = 7.61130476\% - 7.611\% = \mathbf{0.00030476\text{ percentage points}}$$</w:t>
      </w:r>
    </w:p>
    <w:p>
      <w:pPr>
        <w:jc w:val="center"/>
      </w:pPr>
      <w:r>
        <w:t>____________________________________________________________</w:t>
      </w:r>
    </w:p>
    <w:p>
      <w:pPr>
        <w:keepNext/>
        <w:spacing w:before="240"/>
        <w:jc w:val="left"/>
      </w:pPr>
      <w:r>
        <w:rPr>
          <w:rFonts w:ascii="Arial" w:hAnsi="Arial" w:eastAsia="Arial"/>
          <w:b/>
          <w:color w:val="1B4F72"/>
          <w:sz w:val="26"/>
        </w:rPr>
        <w:t>R14</w:t>
      </w:r>
    </w:p>
    <w:p>
      <w:pPr>
        <w:spacing w:after="120"/>
        <w:jc w:val="both"/>
      </w:pPr>
      <w:r>
        <w:rPr>
          <w:rFonts w:ascii="Arial" w:hAnsi="Arial" w:eastAsia="Arial"/>
          <w:b/>
          <w:sz w:val="22"/>
        </w:rPr>
        <w:t>Pregunta:</w:t>
      </w:r>
      <w:r>
        <w:rPr>
          <w:rFonts w:ascii="Arial" w:hAnsi="Arial" w:eastAsia="Arial"/>
          <w:b w:val="0"/>
          <w:sz w:val="22"/>
        </w:rPr>
        <w:t xml:space="preserve"> What was the main problem reported by users of the application during 2023, and how does it relate to the trend in health expenditure per capita for the same period?</w:t>
      </w:r>
    </w:p>
    <w:p>
      <w:pPr>
        <w:spacing w:after="120"/>
        <w:jc w:val="both"/>
      </w:pPr>
      <w:r>
        <w:rPr>
          <w:rFonts w:ascii="Arial" w:hAnsi="Arial" w:eastAsia="Arial"/>
          <w:b/>
          <w:sz w:val="22"/>
        </w:rPr>
        <w:t>Llamadas a herramientas (en el orden emitido):</w:t>
      </w:r>
    </w:p>
    <w:p>
      <w:pPr>
        <w:ind w:left="454" w:hanging="283"/>
        <w:jc w:val="left"/>
      </w:pPr>
      <w:r>
        <w:rPr>
          <w:rFonts w:ascii="Arial" w:hAnsi="Arial" w:eastAsia="Arial"/>
          <w:b w:val="0"/>
          <w:sz w:val="22"/>
        </w:rPr>
        <w:t xml:space="preserve">1. </w:t>
      </w:r>
      <w:r>
        <w:rPr>
          <w:rFonts w:ascii="Consolas" w:hAnsi="Consolas" w:eastAsia="Consolas"/>
          <w:sz w:val="18"/>
        </w:rPr>
        <w:t>query_local_reviews</w:t>
      </w:r>
      <w:r>
        <w:rPr>
          <w:rFonts w:ascii="Arial" w:hAnsi="Arial" w:eastAsia="Arial"/>
          <w:b w:val="0"/>
          <w:sz w:val="22"/>
        </w:rPr>
        <w:t xml:space="preserve"> — argumentos: </w:t>
      </w:r>
      <w:r>
        <w:rPr>
          <w:rFonts w:ascii="Consolas" w:hAnsi="Consolas" w:eastAsia="Consolas"/>
          <w:sz w:val="18"/>
        </w:rPr>
        <w:t>{"end_date": "2023-12-31", "start_date": "2023-01-01"}</w:t>
      </w:r>
    </w:p>
    <w:p>
      <w:pPr>
        <w:spacing w:after="120"/>
        <w:jc w:val="both"/>
      </w:pPr>
      <w:r>
        <w:rPr>
          <w:rFonts w:ascii="Arial" w:hAnsi="Arial" w:eastAsia="Arial"/>
          <w:b w:val="0"/>
          <w:sz w:val="22"/>
        </w:rPr>
        <w:t>Resultado: OK</w:t>
      </w:r>
    </w:p>
    <w:p>
      <w:pPr>
        <w:ind w:left="454"/>
        <w:jc w:val="left"/>
      </w:pPr>
      <w:r>
        <w:rPr>
          <w:rFonts w:ascii="Consolas" w:hAnsi="Consolas" w:eastAsia="Consolas"/>
          <w:sz w:val="18"/>
        </w:rPr>
        <w:t>{"source": "local_reviews", "date_range": {"start": "2023-01-01", "end": "2023-12-31"}, "total_reviews": 11428, "valid_reviews_for_analysis": 11428, "sentiment_distribution": {"POS": 7287, "NEG": 3177, "NEU": 964}, "top_negative_keywords": [["citas", 1411], ["nunca", 1283], ["cita", 1064], ["sacar", 1056], ["mala", 386], ["puede", 356], ["sirve", 246], ["uno", 243], ["disponibles", 230], ["nada", 229], ["pésima", 208], ["puedo", 182], ["imposible", 165], ["campo", 152], ["ver", 149]], "sample_negative_reviews": ["Es demasiado mala, casi nunca funciona bien, si trato de reestablecer mi contraseña, me envía lun link a mi correo registrado, sigo el link, e introduzca mi nueva contraseña, pero me da un fallo. Trato de reestablecer de nuevo, pero ya no me genera un nuevo correo de recuperación de contraseña. Es una de las peores aplicaciones que existen.", "Me cae mal esta aplicación porque nunca hay cita cuando en realidad lo necesita.", "Rara vez se encuentran citas, y no actualizan la información", "La verdad solo porque duré días sin conectarme, intento entrar y me pide iniciar sesión, la cual olvidé mi contraseña e intento recuperar y me dicen que el código es incorrecto. La verdad no veo seriedad en eso.", "Regular"], "negative_review_count": 3177, "topic_coverage": {"with_topic_assignment": 3177, "missing_topic_assignment_count": 0, "assigned_non_noise_count": 2116, "topic_noise_count": 1061, "excluded_assigned_review_count": 293, "substantive_problem_count": 1823, "substantive_coverage_pct": 57.3812}, "problem_categories": [{"category": "ACCESO_CITAS", "count": 1248, "pct_of_substantive_problems": 68.4586, "pct_of_negative_reviews": 39.2823}, {"category": "INFORMACION_CLINICA", "count": 235, "pct_of_substantive_problems": 12.8908, "pct_of_negative_reviews": 7.3969}, {"category": "RENDIMIENTO_APP", "count": 179, "pct_of_substantive_problems": 9.819, "pct_of_negative_reviews": 5.6342}, {"category": "AUTENTICACION_ACCESO", "count": 111, "pct_of_substantive_problems": 6.0889, "pct_of_negative_reviews": 3.4939}, {"category": "CALIDAD_ACTUALIZACION_INFO", "count": 25, "pct_of_substantive_problems": 1.3714, "pct_of_negative_reviews": 0.7869}, {"category": "REGISTRO_CUENTA", "count": 16, "pct_of_substantive_problems": 0.8777, "pct_of_negative_reviews": 0.5036}, {"category": "INFORMACION_ADMINISTRATIVA", "count": 9, "pct_of_substantive_problems": 0.4937, "pct_of_negative_reviews": 0.2833}], "main_problem": {"category": "ACCESO_CITAS", "count": 1248, "pct_of_substantive_problems": 68.4586, "pct_of_negative_reviews": 39.2823}, "invalid_rating_count": 0, "invalid_rating_pct": 0.0}</w:t>
      </w:r>
    </w:p>
    <w:p>
      <w:pPr>
        <w:ind w:left="454" w:hanging="283"/>
        <w:jc w:val="left"/>
      </w:pPr>
      <w:r>
        <w:rPr>
          <w:rFonts w:ascii="Arial" w:hAnsi="Arial" w:eastAsia="Arial"/>
          <w:b w:val="0"/>
          <w:sz w:val="22"/>
        </w:rPr>
        <w:t xml:space="preserve">2. </w:t>
      </w:r>
      <w:r>
        <w:rPr>
          <w:rFonts w:ascii="Consolas" w:hAnsi="Consolas" w:eastAsia="Consolas"/>
          <w:sz w:val="18"/>
        </w:rPr>
        <w:t>get_worldbank_indicator</w:t>
      </w:r>
      <w:r>
        <w:rPr>
          <w:rFonts w:ascii="Arial" w:hAnsi="Arial" w:eastAsia="Arial"/>
          <w:b w:val="0"/>
          <w:sz w:val="22"/>
        </w:rPr>
        <w:t xml:space="preserve"> — argumentos: </w:t>
      </w:r>
      <w:r>
        <w:rPr>
          <w:rFonts w:ascii="Consolas" w:hAnsi="Consolas" w:eastAsia="Consolas"/>
          <w:sz w:val="18"/>
        </w:rPr>
        <w:t>{"country_iso3": "CRI", "start_year": 2015, "indicator": "current_health_expenditure_per_capita_usd"}</w:t>
      </w:r>
    </w:p>
    <w:p>
      <w:pPr>
        <w:spacing w:after="120"/>
        <w:jc w:val="both"/>
      </w:pPr>
      <w:r>
        <w:rPr>
          <w:rFonts w:ascii="Arial" w:hAnsi="Arial" w:eastAsia="Arial"/>
          <w:b w:val="0"/>
          <w:sz w:val="22"/>
        </w:rPr>
        <w:t>Resultado: OK</w:t>
      </w:r>
    </w:p>
    <w:p>
      <w:pPr>
        <w:ind w:left="454"/>
        <w:jc w:val="left"/>
      </w:pPr>
      <w:r>
        <w:rPr>
          <w:rFonts w:ascii="Consolas" w:hAnsi="Consolas" w:eastAsia="Consolas"/>
          <w:sz w:val="18"/>
        </w:rPr>
        <w:t>{"source": "World Bank", "indicator_code": "SH.XPD.CHEX.PC.CD", "indicator_name": "Current health expenditure per capita (current US$)", "country_iso3": "CRI", "observations": [{"year": "2015", "value": 889.3762207}], "query_url": "https://api.worldbank.org/v2/country/CRI/indicator/SH.XPD.CHEX.PC.CD?format=json&amp;per_page=1000&amp;date=2015"}</w:t>
      </w:r>
    </w:p>
    <w:p>
      <w:pPr>
        <w:ind w:left="454" w:hanging="283"/>
        <w:jc w:val="left"/>
      </w:pPr>
      <w:r>
        <w:rPr>
          <w:rFonts w:ascii="Arial" w:hAnsi="Arial" w:eastAsia="Arial"/>
          <w:b w:val="0"/>
          <w:sz w:val="22"/>
        </w:rPr>
        <w:t xml:space="preserve">3. </w:t>
      </w:r>
      <w:r>
        <w:rPr>
          <w:rFonts w:ascii="Consolas" w:hAnsi="Consolas" w:eastAsia="Consolas"/>
          <w:sz w:val="18"/>
        </w:rPr>
        <w:t>get_worldbank_indicator</w:t>
      </w:r>
      <w:r>
        <w:rPr>
          <w:rFonts w:ascii="Arial" w:hAnsi="Arial" w:eastAsia="Arial"/>
          <w:b w:val="0"/>
          <w:sz w:val="22"/>
        </w:rPr>
        <w:t xml:space="preserve"> — argumentos: </w:t>
      </w:r>
      <w:r>
        <w:rPr>
          <w:rFonts w:ascii="Consolas" w:hAnsi="Consolas" w:eastAsia="Consolas"/>
          <w:sz w:val="18"/>
        </w:rPr>
        <w:t>{"indicator": "current_health_expenditure_per_capita_usd", "most_recent_n": 10, "country_iso3": "CRI"}</w:t>
      </w:r>
    </w:p>
    <w:p>
      <w:pPr>
        <w:spacing w:after="120"/>
        <w:jc w:val="both"/>
      </w:pPr>
      <w:r>
        <w:rPr>
          <w:rFonts w:ascii="Arial" w:hAnsi="Arial" w:eastAsia="Arial"/>
          <w:b w:val="0"/>
          <w:sz w:val="22"/>
        </w:rPr>
        <w:t>Resultado: OK</w:t>
      </w:r>
    </w:p>
    <w:p>
      <w:pPr>
        <w:ind w:left="454"/>
        <w:jc w:val="left"/>
      </w:pPr>
      <w:r>
        <w:rPr>
          <w:rFonts w:ascii="Consolas" w:hAnsi="Consolas" w:eastAsia="Consolas"/>
          <w:sz w:val="18"/>
        </w:rPr>
        <w:t>{"source": "World Bank", "indicator_code": "SH.XPD.CHEX.PC.CD", "indicator_name": "Current health expenditure per capita (current US$)", "country_iso3": "CRI", "observations": [{"year": "2014", "value": 836.23120117}, {"year": "2015", "value": 889.3762207}, {"year": "2016", "value": 884.73028564}, {"year": "2017", "value": 867.76733398}, {"year": "2018", "value": 917.31018066}, {"year": "2019", "value": 930.43511963}, {"year": "2020", "value": 969.89099121}, {"year": "2021", "value": 977.14831543}, {"year": "2022", "value": 978.84155273}, {"year": "2023", "value": 1163.30224609}], "query_url": "https://api.worldbank.org/v2/country/CRI/indicator/SH.XPD.CHEX.PC.CD?format=json&amp;per_page=1000&amp;mrnev=10"}</w:t>
      </w:r>
    </w:p>
    <w:p>
      <w:pPr>
        <w:ind w:left="454" w:hanging="283"/>
        <w:jc w:val="left"/>
      </w:pPr>
      <w:r>
        <w:rPr>
          <w:rFonts w:ascii="Arial" w:hAnsi="Arial" w:eastAsia="Arial"/>
          <w:b w:val="0"/>
          <w:sz w:val="22"/>
        </w:rPr>
        <w:t xml:space="preserve">4. </w:t>
      </w:r>
      <w:r>
        <w:rPr>
          <w:rFonts w:ascii="Consolas" w:hAnsi="Consolas" w:eastAsia="Consolas"/>
          <w:sz w:val="18"/>
        </w:rPr>
        <w:t>get_oecd_indicator</w:t>
      </w:r>
      <w:r>
        <w:rPr>
          <w:rFonts w:ascii="Arial" w:hAnsi="Arial" w:eastAsia="Arial"/>
          <w:b w:val="0"/>
          <w:sz w:val="22"/>
        </w:rPr>
        <w:t xml:space="preserve"> — argumentos: </w:t>
      </w:r>
      <w:r>
        <w:rPr>
          <w:rFonts w:ascii="Consolas" w:hAnsi="Consolas" w:eastAsia="Consolas"/>
          <w:sz w:val="18"/>
        </w:rPr>
        <w:t>{"indicator": "health_expenditure_pct_gdp", "start_period": "2015", "country_iso3": "CRI"}</w:t>
      </w:r>
    </w:p>
    <w:p>
      <w:pPr>
        <w:spacing w:after="120"/>
        <w:jc w:val="both"/>
      </w:pPr>
      <w:r>
        <w:rPr>
          <w:rFonts w:ascii="Arial" w:hAnsi="Arial" w:eastAsia="Arial"/>
          <w:b w:val="0"/>
          <w:sz w:val="22"/>
        </w:rPr>
        <w:t>Resultado: OK</w:t>
      </w:r>
    </w:p>
    <w:p>
      <w:pPr>
        <w:ind w:left="454"/>
        <w:jc w:val="left"/>
      </w:pPr>
      <w:r>
        <w:rPr>
          <w:rFonts w:ascii="Consolas" w:hAnsi="Consolas" w:eastAsia="Consolas"/>
          <w:sz w:val="18"/>
        </w:rPr>
        <w:t>{"source": "OECD", "dataflow": "OECD.ELS.HD,DSD_SHA@DF_SHA,", "key": "CRI.A.EXP_HEALTH.PT_B1GQ._T._Z._T._T._T._Z._Z._Z", "country_iso3": "CRI", "observations": [{"year": "2015", "value": 7.592}, {"year": "2016", "value": 7.315}, {"year": "2017", "value": 7.045}, {"year": "2018", "value": 7.286}, {"year": "2019", "value": 7.221}, {"year": "2020", "value": 7.825}, {"year": "2021", "value": 7.611}, {"year": "2022", "value": 7.184}, {"year": "2023", "value": 6.866}, {"year": "2024", "value": 6.91}, {"year": "2025", "value": 6.776}], "query_url": "https://sdmx.oecd.org/public/rest/data/OECD.ELS.HD,DSD_SHA@DF_SHA,/CRI.A.EXP_HEALTH.PT_B1GQ._T._Z._T._T._T._Z._Z._Z?startPeriod=2015", "response_meta": {"schema": "https://raw.githubusercontent.com/sdmx-twg/sdmx-json/master/data-message/tools/schemas/2.0.0/sdmx-json-data-schema.json", "id": "IREF001014", "prepared": "2026-09-07T02:46:07Z", "test": false, "contentLanguages": ["en", "en-US"], "sender": {"id": "Disseminate_Final_DMZ", "name": "unknown", "names": {"en-US": "unknown"}}}}</w:t>
      </w:r>
    </w:p>
    <w:p>
      <w:pPr>
        <w:ind w:left="454" w:hanging="283"/>
        <w:jc w:val="left"/>
      </w:pPr>
      <w:r>
        <w:rPr>
          <w:rFonts w:ascii="Arial" w:hAnsi="Arial" w:eastAsia="Arial"/>
          <w:b w:val="0"/>
          <w:sz w:val="22"/>
        </w:rPr>
        <w:t xml:space="preserve">5. </w:t>
      </w:r>
      <w:r>
        <w:rPr>
          <w:rFonts w:ascii="Consolas" w:hAnsi="Consolas" w:eastAsia="Consolas"/>
          <w:sz w:val="18"/>
        </w:rPr>
        <w:t>get_worldbank_indicator</w:t>
      </w:r>
      <w:r>
        <w:rPr>
          <w:rFonts w:ascii="Arial" w:hAnsi="Arial" w:eastAsia="Arial"/>
          <w:b w:val="0"/>
          <w:sz w:val="22"/>
        </w:rPr>
        <w:t xml:space="preserve"> — argumentos: </w:t>
      </w:r>
      <w:r>
        <w:rPr>
          <w:rFonts w:ascii="Consolas" w:hAnsi="Consolas" w:eastAsia="Consolas"/>
          <w:sz w:val="18"/>
        </w:rPr>
        <w:t>{"indicator": "current_health_expenditure_per_capita_usd", "most_recent_n": 5, "country_iso3": "COL"}</w:t>
      </w:r>
    </w:p>
    <w:p>
      <w:pPr>
        <w:spacing w:after="120"/>
        <w:jc w:val="both"/>
      </w:pPr>
      <w:r>
        <w:rPr>
          <w:rFonts w:ascii="Arial" w:hAnsi="Arial" w:eastAsia="Arial"/>
          <w:b w:val="0"/>
          <w:sz w:val="22"/>
        </w:rPr>
        <w:t>Resultado: OK</w:t>
      </w:r>
    </w:p>
    <w:p>
      <w:pPr>
        <w:ind w:left="454"/>
        <w:jc w:val="left"/>
      </w:pPr>
      <w:r>
        <w:rPr>
          <w:rFonts w:ascii="Consolas" w:hAnsi="Consolas" w:eastAsia="Consolas"/>
          <w:sz w:val="18"/>
        </w:rPr>
        <w:t>{"source": "World Bank", "indicator_code": "SH.XPD.CHEX.PC.CD", "indicator_name": "Current health expenditure per capita (current US$)", "country_iso3": "COL", "observations": [{"year": "2020", "value": 464.41998291}, {"year": "2021", "value": 568.84130859}, {"year": "2022", "value": 507.07064819}, {"year": "2023", "value": 571.15496826}, {"year": "2024", "value": 644.30908203}], "query_url": "https://api.worldbank.org/v2/country/COL/indicator/SH.XPD.CHEX.PC.CD?format=json&amp;per_page=1000&amp;mrnev=5"}</w:t>
      </w:r>
    </w:p>
    <w:p>
      <w:pPr>
        <w:spacing w:after="120"/>
        <w:jc w:val="both"/>
      </w:pPr>
      <w:r>
        <w:rPr>
          <w:rFonts w:ascii="Arial" w:hAnsi="Arial" w:eastAsia="Arial"/>
          <w:b/>
          <w:sz w:val="22"/>
        </w:rPr>
        <w:t>Respuesta final del sistema:</w:t>
      </w:r>
    </w:p>
    <w:p>
      <w:pPr>
        <w:ind w:left="454"/>
        <w:jc w:val="both"/>
      </w:pPr>
      <w:r>
        <w:rPr>
          <w:rFonts w:ascii="Arial" w:hAnsi="Arial" w:eastAsia="Arial"/>
          <w:b w:val="0"/>
          <w:sz w:val="21"/>
        </w:rPr>
        <w:t>Based on the data retrieved from the local reviews and the World Bank indicators for 2023, here is the analysis of the main problem reported by users and its relationship to the trend in health expenditure per capita:</w:t>
      </w:r>
    </w:p>
    <w:p>
      <w:pPr>
        <w:ind w:left="454"/>
        <w:jc w:val="both"/>
      </w:pPr>
    </w:p>
    <w:p>
      <w:pPr>
        <w:ind w:left="454"/>
        <w:jc w:val="both"/>
      </w:pPr>
      <w:r>
        <w:rPr>
          <w:rFonts w:ascii="Arial" w:hAnsi="Arial" w:eastAsia="Arial"/>
          <w:b w:val="0"/>
          <w:sz w:val="21"/>
        </w:rPr>
        <w:t>### 1. Main Problem Reported by Users (2023)</w:t>
      </w:r>
    </w:p>
    <w:p>
      <w:pPr>
        <w:ind w:left="454"/>
        <w:jc w:val="both"/>
      </w:pPr>
      <w:r>
        <w:rPr>
          <w:rFonts w:ascii="Arial" w:hAnsi="Arial" w:eastAsia="Arial"/>
          <w:b w:val="0"/>
          <w:sz w:val="21"/>
        </w:rPr>
        <w:t>According to the local review analysis for the period from January 1, 2023, to December 31, 2023:</w:t>
      </w:r>
    </w:p>
    <w:p>
      <w:pPr>
        <w:ind w:left="454"/>
        <w:jc w:val="both"/>
      </w:pPr>
      <w:r>
        <w:rPr>
          <w:rFonts w:ascii="Arial" w:hAnsi="Arial" w:eastAsia="Arial"/>
          <w:b w:val="0"/>
          <w:sz w:val="21"/>
        </w:rPr>
        <w:t xml:space="preserve">* </w:t>
      </w:r>
      <w:r>
        <w:rPr>
          <w:rFonts w:ascii="Arial" w:hAnsi="Arial" w:eastAsia="Arial"/>
          <w:b/>
          <w:sz w:val="21"/>
        </w:rPr>
        <w:t>Main Problem:</w:t>
      </w:r>
      <w:r>
        <w:rPr>
          <w:rFonts w:ascii="Arial" w:hAnsi="Arial" w:eastAsia="Arial"/>
          <w:b w:val="0"/>
          <w:sz w:val="21"/>
        </w:rPr>
        <w:t xml:space="preserve"> </w:t>
      </w:r>
      <w:r>
        <w:rPr>
          <w:rFonts w:ascii="Arial" w:hAnsi="Arial" w:eastAsia="Arial"/>
          <w:b/>
          <w:sz w:val="21"/>
        </w:rPr>
        <w:t>`ACCESO_CITAS` (Access to Appointments)</w:t>
      </w:r>
      <w:r>
        <w:rPr>
          <w:rFonts w:ascii="Arial" w:hAnsi="Arial" w:eastAsia="Arial"/>
          <w:b w:val="0"/>
          <w:sz w:val="21"/>
        </w:rPr>
        <w:t>.</w:t>
      </w:r>
    </w:p>
    <w:p>
      <w:pPr>
        <w:ind w:left="454"/>
        <w:jc w:val="both"/>
      </w:pPr>
      <w:r>
        <w:rPr>
          <w:rFonts w:ascii="Arial" w:hAnsi="Arial" w:eastAsia="Arial"/>
          <w:b w:val="0"/>
          <w:sz w:val="21"/>
        </w:rPr>
        <w:t xml:space="preserve">* </w:t>
      </w:r>
      <w:r>
        <w:rPr>
          <w:rFonts w:ascii="Arial" w:hAnsi="Arial" w:eastAsia="Arial"/>
          <w:b/>
          <w:sz w:val="21"/>
        </w:rPr>
        <w:t>Volume:</w:t>
      </w:r>
      <w:r>
        <w:rPr>
          <w:rFonts w:ascii="Arial" w:hAnsi="Arial" w:eastAsia="Arial"/>
          <w:b w:val="0"/>
          <w:sz w:val="21"/>
        </w:rPr>
        <w:t xml:space="preserve"> </w:t>
      </w:r>
      <w:r>
        <w:rPr>
          <w:rFonts w:ascii="Arial" w:hAnsi="Arial" w:eastAsia="Arial"/>
          <w:b/>
          <w:sz w:val="21"/>
        </w:rPr>
        <w:t>1,248 negative reviews</w:t>
      </w:r>
      <w:r>
        <w:rPr>
          <w:rFonts w:ascii="Arial" w:hAnsi="Arial" w:eastAsia="Arial"/>
          <w:b w:val="0"/>
          <w:sz w:val="21"/>
        </w:rPr>
        <w:t xml:space="preserve"> were explicitly categorized under this problem.</w:t>
      </w:r>
    </w:p>
    <w:p>
      <w:pPr>
        <w:ind w:left="454"/>
        <w:jc w:val="both"/>
      </w:pPr>
      <w:r>
        <w:rPr>
          <w:rFonts w:ascii="Arial" w:hAnsi="Arial" w:eastAsia="Arial"/>
          <w:b w:val="0"/>
          <w:sz w:val="21"/>
        </w:rPr>
        <w:t xml:space="preserve">* </w:t>
      </w:r>
      <w:r>
        <w:rPr>
          <w:rFonts w:ascii="Arial" w:hAnsi="Arial" w:eastAsia="Arial"/>
          <w:b/>
          <w:sz w:val="21"/>
        </w:rPr>
        <w:t>Proportion:</w:t>
      </w:r>
      <w:r>
        <w:rPr>
          <w:rFonts w:ascii="Arial" w:hAnsi="Arial" w:eastAsia="Arial"/>
          <w:b w:val="0"/>
          <w:sz w:val="21"/>
        </w:rPr>
        <w:t xml:space="preserve"> This issue accounted for </w:t>
      </w:r>
      <w:r>
        <w:rPr>
          <w:rFonts w:ascii="Arial" w:hAnsi="Arial" w:eastAsia="Arial"/>
          <w:b/>
          <w:sz w:val="21"/>
        </w:rPr>
        <w:t>39.28% of all negative reviews</w:t>
      </w:r>
      <w:r>
        <w:rPr>
          <w:rFonts w:ascii="Arial" w:hAnsi="Arial" w:eastAsia="Arial"/>
          <w:b w:val="0"/>
          <w:sz w:val="21"/>
        </w:rPr>
        <w:t xml:space="preserve"> and a dominant </w:t>
      </w:r>
      <w:r>
        <w:rPr>
          <w:rFonts w:ascii="Arial" w:hAnsi="Arial" w:eastAsia="Arial"/>
          <w:b/>
          <w:sz w:val="21"/>
        </w:rPr>
        <w:t>68.46% of all substantive (classified) problems</w:t>
      </w:r>
      <w:r>
        <w:rPr>
          <w:rFonts w:ascii="Arial" w:hAnsi="Arial" w:eastAsia="Arial"/>
          <w:b w:val="0"/>
          <w:sz w:val="21"/>
        </w:rPr>
        <w:t xml:space="preserve"> during the year.</w:t>
      </w:r>
    </w:p>
    <w:p>
      <w:pPr>
        <w:ind w:left="454"/>
        <w:jc w:val="both"/>
      </w:pPr>
      <w:r>
        <w:rPr>
          <w:rFonts w:ascii="Arial" w:hAnsi="Arial" w:eastAsia="Arial"/>
          <w:b w:val="0"/>
          <w:sz w:val="21"/>
        </w:rPr>
        <w:t xml:space="preserve">* </w:t>
      </w:r>
      <w:r>
        <w:rPr>
          <w:rFonts w:ascii="Arial" w:hAnsi="Arial" w:eastAsia="Arial"/>
          <w:b/>
          <w:sz w:val="21"/>
        </w:rPr>
        <w:t>User Sentiment &amp; Context:</w:t>
      </w:r>
      <w:r>
        <w:rPr>
          <w:rFonts w:ascii="Arial" w:hAnsi="Arial" w:eastAsia="Arial"/>
          <w:b w:val="0"/>
          <w:sz w:val="21"/>
        </w:rPr>
        <w:t xml:space="preserve"> The top negative keywords were heavily dominated by terms like *"citas"* (1,411 mentions), *"nunca"* (1,283 mentions), *"cita"* (1,064 mentions), and *"sacar"* (1,056 mentions). Sample reviews highlight severe frustration with the lack of available slots (e.g., *"never any appointments when actually needed"* and *"rarely are appointments found"*).</w:t>
      </w:r>
    </w:p>
    <w:p>
      <w:pPr>
        <w:ind w:left="454"/>
        <w:jc w:val="both"/>
      </w:pPr>
    </w:p>
    <w:p>
      <w:pPr>
        <w:ind w:left="454"/>
        <w:jc w:val="both"/>
      </w:pPr>
      <w:r>
        <w:rPr>
          <w:rFonts w:ascii="Arial" w:hAnsi="Arial" w:eastAsia="Arial"/>
          <w:b w:val="0"/>
          <w:sz w:val="21"/>
        </w:rPr>
        <w:t>---</w:t>
      </w:r>
    </w:p>
    <w:p>
      <w:pPr>
        <w:ind w:left="454"/>
        <w:jc w:val="both"/>
      </w:pPr>
    </w:p>
    <w:p>
      <w:pPr>
        <w:ind w:left="454"/>
        <w:jc w:val="both"/>
      </w:pPr>
      <w:r>
        <w:rPr>
          <w:rFonts w:ascii="Arial" w:hAnsi="Arial" w:eastAsia="Arial"/>
          <w:b w:val="0"/>
          <w:sz w:val="21"/>
        </w:rPr>
        <w:t>### 2. Trend in Health Expenditure per Capita (2023)</w:t>
      </w:r>
    </w:p>
    <w:p>
      <w:pPr>
        <w:ind w:left="454"/>
        <w:jc w:val="both"/>
      </w:pPr>
      <w:r>
        <w:rPr>
          <w:rFonts w:ascii="Arial" w:hAnsi="Arial" w:eastAsia="Arial"/>
          <w:b w:val="0"/>
          <w:sz w:val="21"/>
        </w:rPr>
        <w:t>Using World Bank institutional data (</w:t>
      </w:r>
      <w:r>
        <w:rPr>
          <w:rFonts w:ascii="Consolas" w:hAnsi="Consolas" w:eastAsia="Consolas"/>
          <w:sz w:val="17"/>
        </w:rPr>
        <w:t>current_health_expenditure_per_capita_usd</w:t>
      </w:r>
      <w:r>
        <w:rPr>
          <w:rFonts w:ascii="Arial" w:hAnsi="Arial" w:eastAsia="Arial"/>
          <w:b w:val="0"/>
          <w:sz w:val="21"/>
        </w:rPr>
        <w:t>) for the same period, we can observe the financial trends. Since the country is not explicitly specified, we look at the data for Spanish-speaking countries available in the system:</w:t>
      </w:r>
    </w:p>
    <w:p>
      <w:pPr>
        <w:ind w:left="454"/>
        <w:jc w:val="both"/>
      </w:pPr>
    </w:p>
    <w:p>
      <w:pPr>
        <w:ind w:left="454"/>
        <w:jc w:val="both"/>
      </w:pPr>
      <w:r>
        <w:rPr>
          <w:rFonts w:ascii="Arial" w:hAnsi="Arial" w:eastAsia="Arial"/>
          <w:b w:val="0"/>
          <w:sz w:val="21"/>
        </w:rPr>
        <w:t xml:space="preserve">* </w:t>
      </w:r>
      <w:r>
        <w:rPr>
          <w:rFonts w:ascii="Arial" w:hAnsi="Arial" w:eastAsia="Arial"/>
          <w:b/>
          <w:sz w:val="21"/>
        </w:rPr>
        <w:t>Costa Rica (CRI):</w:t>
      </w:r>
    </w:p>
    <w:p>
      <w:pPr>
        <w:ind w:left="454"/>
        <w:jc w:val="both"/>
      </w:pPr>
      <w:r>
        <w:rPr>
          <w:rFonts w:ascii="Arial" w:hAnsi="Arial" w:eastAsia="Arial"/>
          <w:b w:val="0"/>
          <w:sz w:val="21"/>
        </w:rPr>
        <w:t xml:space="preserve">* </w:t>
      </w:r>
      <w:r>
        <w:rPr>
          <w:rFonts w:ascii="Arial" w:hAnsi="Arial" w:eastAsia="Arial"/>
          <w:b/>
          <w:sz w:val="21"/>
        </w:rPr>
        <w:t>2022:</w:t>
      </w:r>
      <w:r>
        <w:rPr>
          <w:rFonts w:ascii="Arial" w:hAnsi="Arial" w:eastAsia="Arial"/>
          <w:b w:val="0"/>
          <w:sz w:val="21"/>
        </w:rPr>
        <w:t xml:space="preserve"> $978.84 USD per capita</w:t>
      </w:r>
    </w:p>
    <w:p>
      <w:pPr>
        <w:ind w:left="454"/>
        <w:jc w:val="both"/>
      </w:pPr>
      <w:r>
        <w:rPr>
          <w:rFonts w:ascii="Arial" w:hAnsi="Arial" w:eastAsia="Arial"/>
          <w:b w:val="0"/>
          <w:sz w:val="21"/>
        </w:rPr>
        <w:t xml:space="preserve">* </w:t>
      </w:r>
      <w:r>
        <w:rPr>
          <w:rFonts w:ascii="Arial" w:hAnsi="Arial" w:eastAsia="Arial"/>
          <w:b/>
          <w:sz w:val="21"/>
        </w:rPr>
        <w:t>2023:</w:t>
      </w:r>
      <w:r>
        <w:rPr>
          <w:rFonts w:ascii="Arial" w:hAnsi="Arial" w:eastAsia="Arial"/>
          <w:b w:val="0"/>
          <w:sz w:val="21"/>
        </w:rPr>
        <w:t xml:space="preserve"> $1,163.30 USD per capita</w:t>
      </w:r>
    </w:p>
    <w:p>
      <w:pPr>
        <w:ind w:left="454"/>
        <w:jc w:val="both"/>
      </w:pPr>
      <w:r>
        <w:rPr>
          <w:rFonts w:ascii="Arial" w:hAnsi="Arial" w:eastAsia="Arial"/>
          <w:b w:val="0"/>
          <w:sz w:val="21"/>
        </w:rPr>
        <w:t xml:space="preserve">* </w:t>
      </w:r>
      <w:r>
        <w:rPr>
          <w:rFonts w:ascii="Arial" w:hAnsi="Arial" w:eastAsia="Arial"/>
          <w:b/>
          <w:sz w:val="21"/>
        </w:rPr>
        <w:t>Trend:</w:t>
      </w:r>
      <w:r>
        <w:rPr>
          <w:rFonts w:ascii="Arial" w:hAnsi="Arial" w:eastAsia="Arial"/>
          <w:b w:val="0"/>
          <w:sz w:val="21"/>
        </w:rPr>
        <w:t xml:space="preserve"> A significant </w:t>
      </w:r>
      <w:r>
        <w:rPr>
          <w:rFonts w:ascii="Arial" w:hAnsi="Arial" w:eastAsia="Arial"/>
          <w:b/>
          <w:sz w:val="21"/>
        </w:rPr>
        <w:t>increase of approximately 18.8%</w:t>
      </w:r>
      <w:r>
        <w:rPr>
          <w:rFonts w:ascii="Arial" w:hAnsi="Arial" w:eastAsia="Arial"/>
          <w:b w:val="0"/>
          <w:sz w:val="21"/>
        </w:rPr>
        <w:t xml:space="preserve"> in health spending per capita.</w:t>
      </w:r>
    </w:p>
    <w:p>
      <w:pPr>
        <w:ind w:left="454"/>
        <w:jc w:val="both"/>
      </w:pPr>
      <w:r>
        <w:rPr>
          <w:rFonts w:ascii="Arial" w:hAnsi="Arial" w:eastAsia="Arial"/>
          <w:b w:val="0"/>
          <w:sz w:val="21"/>
        </w:rPr>
        <w:t xml:space="preserve">* </w:t>
      </w:r>
      <w:r>
        <w:rPr>
          <w:rFonts w:ascii="Arial" w:hAnsi="Arial" w:eastAsia="Arial"/>
          <w:b/>
          <w:sz w:val="21"/>
        </w:rPr>
        <w:t>Colombia (COL):</w:t>
      </w:r>
    </w:p>
    <w:p>
      <w:pPr>
        <w:ind w:left="454"/>
        <w:jc w:val="both"/>
      </w:pPr>
      <w:r>
        <w:rPr>
          <w:rFonts w:ascii="Arial" w:hAnsi="Arial" w:eastAsia="Arial"/>
          <w:b w:val="0"/>
          <w:sz w:val="21"/>
        </w:rPr>
        <w:t xml:space="preserve">* </w:t>
      </w:r>
      <w:r>
        <w:rPr>
          <w:rFonts w:ascii="Arial" w:hAnsi="Arial" w:eastAsia="Arial"/>
          <w:b/>
          <w:sz w:val="21"/>
        </w:rPr>
        <w:t>2022:</w:t>
      </w:r>
      <w:r>
        <w:rPr>
          <w:rFonts w:ascii="Arial" w:hAnsi="Arial" w:eastAsia="Arial"/>
          <w:b w:val="0"/>
          <w:sz w:val="21"/>
        </w:rPr>
        <w:t xml:space="preserve"> $507.07 USD per capita</w:t>
      </w:r>
    </w:p>
    <w:p>
      <w:pPr>
        <w:ind w:left="454"/>
        <w:jc w:val="both"/>
      </w:pPr>
      <w:r>
        <w:rPr>
          <w:rFonts w:ascii="Arial" w:hAnsi="Arial" w:eastAsia="Arial"/>
          <w:b w:val="0"/>
          <w:sz w:val="21"/>
        </w:rPr>
        <w:t xml:space="preserve">* </w:t>
      </w:r>
      <w:r>
        <w:rPr>
          <w:rFonts w:ascii="Arial" w:hAnsi="Arial" w:eastAsia="Arial"/>
          <w:b/>
          <w:sz w:val="21"/>
        </w:rPr>
        <w:t>2023:</w:t>
      </w:r>
      <w:r>
        <w:rPr>
          <w:rFonts w:ascii="Arial" w:hAnsi="Arial" w:eastAsia="Arial"/>
          <w:b w:val="0"/>
          <w:sz w:val="21"/>
        </w:rPr>
        <w:t xml:space="preserve"> $571.15 USD per capita</w:t>
      </w:r>
    </w:p>
    <w:p>
      <w:pPr>
        <w:ind w:left="454"/>
        <w:jc w:val="both"/>
      </w:pPr>
      <w:r>
        <w:rPr>
          <w:rFonts w:ascii="Arial" w:hAnsi="Arial" w:eastAsia="Arial"/>
          <w:b w:val="0"/>
          <w:sz w:val="21"/>
        </w:rPr>
        <w:t xml:space="preserve">* </w:t>
      </w:r>
      <w:r>
        <w:rPr>
          <w:rFonts w:ascii="Arial" w:hAnsi="Arial" w:eastAsia="Arial"/>
          <w:b/>
          <w:sz w:val="21"/>
        </w:rPr>
        <w:t>Trend:</w:t>
      </w:r>
      <w:r>
        <w:rPr>
          <w:rFonts w:ascii="Arial" w:hAnsi="Arial" w:eastAsia="Arial"/>
          <w:b w:val="0"/>
          <w:sz w:val="21"/>
        </w:rPr>
        <w:t xml:space="preserve"> An </w:t>
      </w:r>
      <w:r>
        <w:rPr>
          <w:rFonts w:ascii="Arial" w:hAnsi="Arial" w:eastAsia="Arial"/>
          <w:b/>
          <w:sz w:val="21"/>
        </w:rPr>
        <w:t>increase of approximately 12.6%</w:t>
      </w:r>
      <w:r>
        <w:rPr>
          <w:rFonts w:ascii="Arial" w:hAnsi="Arial" w:eastAsia="Arial"/>
          <w:b w:val="0"/>
          <w:sz w:val="21"/>
        </w:rPr>
        <w:t xml:space="preserve"> in health spending per capita.</w:t>
      </w:r>
    </w:p>
    <w:p>
      <w:pPr>
        <w:ind w:left="454"/>
        <w:jc w:val="both"/>
      </w:pPr>
    </w:p>
    <w:p>
      <w:pPr>
        <w:ind w:left="454"/>
        <w:jc w:val="both"/>
      </w:pPr>
      <w:r>
        <w:rPr>
          <w:rFonts w:ascii="Arial" w:hAnsi="Arial" w:eastAsia="Arial"/>
          <w:b w:val="0"/>
          <w:sz w:val="21"/>
        </w:rPr>
        <w:t>---</w:t>
      </w:r>
    </w:p>
    <w:p>
      <w:pPr>
        <w:ind w:left="454"/>
        <w:jc w:val="both"/>
      </w:pPr>
    </w:p>
    <w:p>
      <w:pPr>
        <w:ind w:left="454"/>
        <w:jc w:val="both"/>
      </w:pPr>
      <w:r>
        <w:rPr>
          <w:rFonts w:ascii="Arial" w:hAnsi="Arial" w:eastAsia="Arial"/>
          <w:b w:val="0"/>
          <w:sz w:val="21"/>
        </w:rPr>
        <w:t>### 3. Relationship Between the Two Trends</w:t>
      </w:r>
    </w:p>
    <w:p>
      <w:pPr>
        <w:ind w:left="454"/>
        <w:jc w:val="both"/>
      </w:pPr>
      <w:r>
        <w:rPr>
          <w:rFonts w:ascii="Arial" w:hAnsi="Arial" w:eastAsia="Arial"/>
          <w:b w:val="0"/>
          <w:sz w:val="21"/>
        </w:rPr>
        <w:t xml:space="preserve">The relationship reveals a notable </w:t>
      </w:r>
      <w:r>
        <w:rPr>
          <w:rFonts w:ascii="Arial" w:hAnsi="Arial" w:eastAsia="Arial"/>
          <w:b/>
          <w:sz w:val="21"/>
        </w:rPr>
        <w:t>contrast (or paradox) between institutional funding and citizen experience</w:t>
      </w:r>
      <w:r>
        <w:rPr>
          <w:rFonts w:ascii="Arial" w:hAnsi="Arial" w:eastAsia="Arial"/>
          <w:b w:val="0"/>
          <w:sz w:val="21"/>
        </w:rPr>
        <w:t>:</w:t>
      </w:r>
    </w:p>
    <w:p>
      <w:pPr>
        <w:ind w:left="454"/>
        <w:jc w:val="both"/>
      </w:pPr>
    </w:p>
    <w:p>
      <w:pPr>
        <w:ind w:left="454"/>
        <w:jc w:val="both"/>
      </w:pPr>
      <w:r>
        <w:rPr>
          <w:rFonts w:ascii="Arial" w:hAnsi="Arial" w:eastAsia="Arial"/>
          <w:b w:val="0"/>
          <w:sz w:val="21"/>
        </w:rPr>
        <w:t xml:space="preserve">* </w:t>
      </w:r>
      <w:r>
        <w:rPr>
          <w:rFonts w:ascii="Arial" w:hAnsi="Arial" w:eastAsia="Arial"/>
          <w:b/>
          <w:sz w:val="21"/>
        </w:rPr>
        <w:t>The Paradox of Spending vs. Access:</w:t>
      </w:r>
      <w:r>
        <w:rPr>
          <w:rFonts w:ascii="Arial" w:hAnsi="Arial" w:eastAsia="Arial"/>
          <w:b w:val="0"/>
          <w:sz w:val="21"/>
        </w:rPr>
        <w:t xml:space="preserve"> While governments/institutions significantly </w:t>
      </w:r>
      <w:r>
        <w:rPr>
          <w:rFonts w:ascii="Arial" w:hAnsi="Arial" w:eastAsia="Arial"/>
          <w:b/>
          <w:sz w:val="21"/>
        </w:rPr>
        <w:t>increased</w:t>
      </w:r>
      <w:r>
        <w:rPr>
          <w:rFonts w:ascii="Arial" w:hAnsi="Arial" w:eastAsia="Arial"/>
          <w:b w:val="0"/>
          <w:sz w:val="21"/>
        </w:rPr>
        <w:t xml:space="preserve"> their health expenditure per capita in 2023, citizens using the digital health application faced severe barriers to accessing care.</w:t>
      </w:r>
    </w:p>
    <w:p>
      <w:pPr>
        <w:ind w:left="454"/>
        <w:jc w:val="both"/>
      </w:pPr>
      <w:r>
        <w:rPr>
          <w:rFonts w:ascii="Arial" w:hAnsi="Arial" w:eastAsia="Arial"/>
          <w:b w:val="0"/>
          <w:sz w:val="21"/>
        </w:rPr>
        <w:t xml:space="preserve">* </w:t>
      </w:r>
      <w:r>
        <w:rPr>
          <w:rFonts w:ascii="Arial" w:hAnsi="Arial" w:eastAsia="Arial"/>
          <w:b/>
          <w:sz w:val="21"/>
        </w:rPr>
        <w:t>Bottlenecks in Digital Delivery:</w:t>
      </w:r>
      <w:r>
        <w:rPr>
          <w:rFonts w:ascii="Arial" w:hAnsi="Arial" w:eastAsia="Arial"/>
          <w:b w:val="0"/>
          <w:sz w:val="21"/>
        </w:rPr>
        <w:t xml:space="preserve"> The substantial rise in per capita health spending did not successfully resolve the primary operational bottleneck: </w:t>
      </w:r>
      <w:r>
        <w:rPr>
          <w:rFonts w:ascii="Arial" w:hAnsi="Arial" w:eastAsia="Arial"/>
          <w:b/>
          <w:sz w:val="21"/>
        </w:rPr>
        <w:t>allocating and securing medical appointments</w:t>
      </w:r>
      <w:r>
        <w:rPr>
          <w:rFonts w:ascii="Arial" w:hAnsi="Arial" w:eastAsia="Arial"/>
          <w:b w:val="0"/>
          <w:sz w:val="21"/>
        </w:rPr>
        <w:t>. This suggests that increased financial resources did not immediately translate into improved digital infrastructure, increased medical staff availability, or better appointment scheduling efficiency on the user-facing application.</w:t>
      </w:r>
    </w:p>
    <w:p>
      <w:pPr>
        <w:jc w:val="center"/>
      </w:pPr>
      <w:r>
        <w:t>____________________________________________________________</w:t>
      </w:r>
    </w:p>
    <w:p>
      <w:pPr>
        <w:keepNext/>
        <w:spacing w:before="240"/>
        <w:jc w:val="left"/>
      </w:pPr>
      <w:r>
        <w:rPr>
          <w:rFonts w:ascii="Arial" w:hAnsi="Arial" w:eastAsia="Arial"/>
          <w:b/>
          <w:color w:val="1B4F72"/>
          <w:sz w:val="26"/>
        </w:rPr>
        <w:t>R15</w:t>
      </w:r>
    </w:p>
    <w:p>
      <w:pPr>
        <w:spacing w:after="120"/>
        <w:jc w:val="both"/>
      </w:pPr>
      <w:r>
        <w:rPr>
          <w:rFonts w:ascii="Arial" w:hAnsi="Arial" w:eastAsia="Arial"/>
          <w:b/>
          <w:sz w:val="22"/>
        </w:rPr>
        <w:t>Pregunta:</w:t>
      </w:r>
      <w:r>
        <w:rPr>
          <w:rFonts w:ascii="Arial" w:hAnsi="Arial" w:eastAsia="Arial"/>
          <w:b w:val="0"/>
          <w:sz w:val="22"/>
        </w:rPr>
        <w:t xml:space="preserve"> What was the main problem reported by users of the application during 2020–2022, and did the World Bank trend in health expenditure per capita and the OECD trend in health expenditure as a percentage of GDP move in the same or opposite directions over that period?</w:t>
      </w:r>
    </w:p>
    <w:p>
      <w:pPr>
        <w:spacing w:after="120"/>
        <w:jc w:val="both"/>
      </w:pPr>
      <w:r>
        <w:rPr>
          <w:rFonts w:ascii="Arial" w:hAnsi="Arial" w:eastAsia="Arial"/>
          <w:b/>
          <w:sz w:val="22"/>
        </w:rPr>
        <w:t>Llamadas a herramientas (en el orden emitido):</w:t>
      </w:r>
    </w:p>
    <w:p>
      <w:pPr>
        <w:ind w:left="454" w:hanging="283"/>
        <w:jc w:val="left"/>
      </w:pPr>
      <w:r>
        <w:rPr>
          <w:rFonts w:ascii="Arial" w:hAnsi="Arial" w:eastAsia="Arial"/>
          <w:b w:val="0"/>
          <w:sz w:val="22"/>
        </w:rPr>
        <w:t xml:space="preserve">1. </w:t>
      </w:r>
      <w:r>
        <w:rPr>
          <w:rFonts w:ascii="Consolas" w:hAnsi="Consolas" w:eastAsia="Consolas"/>
          <w:sz w:val="18"/>
        </w:rPr>
        <w:t>query_local_reviews</w:t>
      </w:r>
      <w:r>
        <w:rPr>
          <w:rFonts w:ascii="Arial" w:hAnsi="Arial" w:eastAsia="Arial"/>
          <w:b w:val="0"/>
          <w:sz w:val="22"/>
        </w:rPr>
        <w:t xml:space="preserve"> — argumentos: </w:t>
      </w:r>
      <w:r>
        <w:rPr>
          <w:rFonts w:ascii="Consolas" w:hAnsi="Consolas" w:eastAsia="Consolas"/>
          <w:sz w:val="18"/>
        </w:rPr>
        <w:t>{"start_date": "2020-01-01", "end_date": "2022-12-31"}</w:t>
      </w:r>
    </w:p>
    <w:p>
      <w:pPr>
        <w:spacing w:after="120"/>
        <w:jc w:val="both"/>
      </w:pPr>
      <w:r>
        <w:rPr>
          <w:rFonts w:ascii="Arial" w:hAnsi="Arial" w:eastAsia="Arial"/>
          <w:b w:val="0"/>
          <w:sz w:val="22"/>
        </w:rPr>
        <w:t>Resultado: OK</w:t>
      </w:r>
    </w:p>
    <w:p>
      <w:pPr>
        <w:ind w:left="454"/>
        <w:jc w:val="left"/>
      </w:pPr>
      <w:r>
        <w:rPr>
          <w:rFonts w:ascii="Consolas" w:hAnsi="Consolas" w:eastAsia="Consolas"/>
          <w:sz w:val="18"/>
        </w:rPr>
        <w:t>{"source": "local_reviews", "date_range": {"start": "2020-01-01", "end": "2022-12-31"}, "total_reviews": 25190, "valid_reviews_for_analysis": 25190, "sentiment_distribution": {"NEG": 3930, "POS": 19657, "NEU": 1603}, "top_negative_keywords": [["citas", 1641], ["nunca", 1505], ["cita", 1196], ["sacar", 1181], ["mala", 395], ["sirve", 380], ["puede", 372], ["nada", 333], ["disponibles", 315], ["uno", 265], ["puedo", 256], ["dice", 234], ["información", 219], ["solo", 207], ["ebais", 207]], "sample_negative_reviews": ["La contraseña hay que cambiarla cada vez que uno ingresa.... Terrible.", "Muy mala solo he podido sacar como dos citas tal vez una estrella por que no se puede dar menos", "Nunca he podido utilizarla no me deja sacar una cita", "Tengo un mes de tratar sacar cita y hace todo el proceso y sl final al confirmar la cita aparece un error he tratado de conseguir ayuda 3 veces con el 905 pero nunca me han podido resolver ni orientar para poder hscerlo", "Tengo más de un mes de que no corre bien la app. Otros compañeros si pueden ver la información de su pensión y yo no puedo. Todo lo demás bien, pero en el tema de pensión FATAL 😡"], "negative_review_count": 3930, "topic_coverage": {"with_topic_assignment": 3930, "missing_topic_assignment_count": 0, "assigned_non_noise_count": 2627, "topic_noise_count": 1303, "excluded_assigned_review_count": 278, "substantive_problem_count": 2349, "substantive_coverage_pct": 59.771}, "problem_categories": [{"category": "ACCESO_CITAS", "count": 1507, "pct_of_substantive_problems": 64.155, "pct_of_negative_reviews": 38.3461}, {"category": "INFORMACION_CLINICA", "count": 300, "pct_of_substantive_problems": 12.7714, "pct_of_negative_reviews": 7.6336}, {"category": "AUTENTICACION_ACCESO", "count": 220, "pct_of_substantive_problems": 9.3657, "pct_of_negative_reviews": 5.598}, {"category": "RENDIMIENTO_APP", "count": 159, "pct_of_substantive_problems": 6.7688, "pct_of_negative_reviews": 4.0458}, {"category": "CALIDAD_ACTUALIZACION_INFO", "count": 69, "pct_of_substantive_problems": 2.9374, "pct_of_negative_reviews": 1.7557}, {"category": "INFORMACION_ADMINISTRATIVA", "count": 49, "pct_of_substantive_problems": 2.086, "pct_of_negative_reviews": 1.2468}, {"category": "REGISTRO_CUENTA", "count": 45, "pct_of_substantive_problems": 1.9157, "pct_of_negative_reviews": 1.145}], "main_problem": {"category": "ACCESO_CITAS", "count": 1507, "pct_of_substantive_problems": 64.155, "pct_of_negative_reviews": 38.3461}, "invalid_rating_count": 0, "invalid_rating_pct": 0.0}</w:t>
      </w:r>
    </w:p>
    <w:p>
      <w:pPr>
        <w:ind w:left="454" w:hanging="283"/>
        <w:jc w:val="left"/>
      </w:pPr>
      <w:r>
        <w:rPr>
          <w:rFonts w:ascii="Arial" w:hAnsi="Arial" w:eastAsia="Arial"/>
          <w:b w:val="0"/>
          <w:sz w:val="22"/>
        </w:rPr>
        <w:t xml:space="preserve">2. </w:t>
      </w:r>
      <w:r>
        <w:rPr>
          <w:rFonts w:ascii="Consolas" w:hAnsi="Consolas" w:eastAsia="Consolas"/>
          <w:sz w:val="18"/>
        </w:rPr>
        <w:t>get_worldbank_indicator</w:t>
      </w:r>
      <w:r>
        <w:rPr>
          <w:rFonts w:ascii="Arial" w:hAnsi="Arial" w:eastAsia="Arial"/>
          <w:b w:val="0"/>
          <w:sz w:val="22"/>
        </w:rPr>
        <w:t xml:space="preserve"> — argumentos: </w:t>
      </w:r>
      <w:r>
        <w:rPr>
          <w:rFonts w:ascii="Consolas" w:hAnsi="Consolas" w:eastAsia="Consolas"/>
          <w:sz w:val="18"/>
        </w:rPr>
        <w:t>{"country_iso3": "USA", "indicator": "current_health_expenditure_per_capita_usd", "start_year": 2020, "end_year": 2022}</w:t>
      </w:r>
    </w:p>
    <w:p>
      <w:pPr>
        <w:spacing w:after="120"/>
        <w:jc w:val="both"/>
      </w:pPr>
      <w:r>
        <w:rPr>
          <w:rFonts w:ascii="Arial" w:hAnsi="Arial" w:eastAsia="Arial"/>
          <w:b w:val="0"/>
          <w:sz w:val="22"/>
        </w:rPr>
        <w:t>Resultado: OK</w:t>
      </w:r>
    </w:p>
    <w:p>
      <w:pPr>
        <w:ind w:left="454"/>
        <w:jc w:val="left"/>
      </w:pPr>
      <w:r>
        <w:rPr>
          <w:rFonts w:ascii="Consolas" w:hAnsi="Consolas" w:eastAsia="Consolas"/>
          <w:sz w:val="18"/>
        </w:rPr>
        <w:t>{"source": "World Bank", "indicator_code": "SH.XPD.CHEX.PC.CD", "indicator_name": "Current health expenditure per capita (current US$)", "country_iso3": "USA", "observations": [{"year": "2020", "value": 11648.49511719}, {"year": "2021", "value": 12080.07324219}, {"year": "2022", "value": 12586.19628906}], "query_url": "https://api.worldbank.org/v2/country/USA/indicator/SH.XPD.CHEX.PC.CD?format=json&amp;per_page=1000&amp;date=2020%3A2022"}</w:t>
      </w:r>
    </w:p>
    <w:p>
      <w:pPr>
        <w:ind w:left="454" w:hanging="283"/>
        <w:jc w:val="left"/>
      </w:pPr>
      <w:r>
        <w:rPr>
          <w:rFonts w:ascii="Arial" w:hAnsi="Arial" w:eastAsia="Arial"/>
          <w:b w:val="0"/>
          <w:sz w:val="22"/>
        </w:rPr>
        <w:t xml:space="preserve">3. </w:t>
      </w:r>
      <w:r>
        <w:rPr>
          <w:rFonts w:ascii="Consolas" w:hAnsi="Consolas" w:eastAsia="Consolas"/>
          <w:sz w:val="18"/>
        </w:rPr>
        <w:t>get_oecd_indicator</w:t>
      </w:r>
      <w:r>
        <w:rPr>
          <w:rFonts w:ascii="Arial" w:hAnsi="Arial" w:eastAsia="Arial"/>
          <w:b w:val="0"/>
          <w:sz w:val="22"/>
        </w:rPr>
        <w:t xml:space="preserve"> — argumentos: </w:t>
      </w:r>
      <w:r>
        <w:rPr>
          <w:rFonts w:ascii="Consolas" w:hAnsi="Consolas" w:eastAsia="Consolas"/>
          <w:sz w:val="18"/>
        </w:rPr>
        <w:t>{"country_iso3": "USA", "indicator": "health_expenditure_pct_gdp", "start_period": "2020"}</w:t>
      </w:r>
    </w:p>
    <w:p>
      <w:pPr>
        <w:spacing w:after="120"/>
        <w:jc w:val="both"/>
      </w:pPr>
      <w:r>
        <w:rPr>
          <w:rFonts w:ascii="Arial" w:hAnsi="Arial" w:eastAsia="Arial"/>
          <w:b w:val="0"/>
          <w:sz w:val="22"/>
        </w:rPr>
        <w:t>Resultado: OK</w:t>
      </w:r>
    </w:p>
    <w:p>
      <w:pPr>
        <w:ind w:left="454"/>
        <w:jc w:val="left"/>
      </w:pPr>
      <w:r>
        <w:rPr>
          <w:rFonts w:ascii="Consolas" w:hAnsi="Consolas" w:eastAsia="Consolas"/>
          <w:sz w:val="18"/>
        </w:rPr>
        <w:t>{"source": "OECD", "dataflow": "OECD.ELS.HD,DSD_SHA@DF_SHA,", "key": "USA.A.EXP_HEALTH.PT_B1GQ._T._Z._T._T._T._Z._Z._Z", "country_iso3": "USA", "observations": [{"year": "2020", "value": 18.734}, {"year": "2021", "value": 17.53}, {"year": "2022", "value": 16.744}, {"year": "2023", "value": 16.87}, {"year": "2024", "value": 17.202}, {"year": "2025", "value": 17.598}], "query_url": "https://sdmx.oecd.org/public/rest/data/OECD.ELS.HD,DSD_SHA@DF_SHA,/USA.A.EXP_HEALTH.PT_B1GQ._T._Z._T._T._T._Z._Z._Z?startPeriod=2020", "response_meta": {"schema": "https://raw.githubusercontent.com/sdmx-twg/sdmx-json/master/data-message/tools/schemas/2.0.0/sdmx-json-data-schema.json", "id": "IREF001112", "prepared": "2026-09-07T02:47:29Z", "test": false, "contentLanguages": ["en", "en-US"], "sender": {"id": "Disseminate_Final_DMZ", "name": "unknown", "names": {"en-US": "unknown"}}}}</w:t>
      </w:r>
    </w:p>
    <w:p>
      <w:pPr>
        <w:spacing w:after="120"/>
        <w:jc w:val="both"/>
      </w:pPr>
      <w:r>
        <w:rPr>
          <w:rFonts w:ascii="Arial" w:hAnsi="Arial" w:eastAsia="Arial"/>
          <w:b/>
          <w:sz w:val="22"/>
        </w:rPr>
        <w:t>Respuesta final del sistema:</w:t>
      </w:r>
    </w:p>
    <w:p>
      <w:pPr>
        <w:ind w:left="454"/>
        <w:jc w:val="both"/>
      </w:pPr>
      <w:r>
        <w:rPr>
          <w:rFonts w:ascii="Arial" w:hAnsi="Arial" w:eastAsia="Arial"/>
          <w:b w:val="0"/>
          <w:sz w:val="21"/>
        </w:rPr>
        <w:t>During the period from 2020 to 2022, the main problem reported by users of the digital health application was related to "ACCESO_CITAS" (appointment access), which accounted for 64.16% of substantive problem reports and 38.35% of all negative reviews.</w:t>
      </w:r>
    </w:p>
    <w:p>
      <w:pPr>
        <w:ind w:left="454"/>
        <w:jc w:val="both"/>
      </w:pPr>
    </w:p>
    <w:p>
      <w:pPr>
        <w:ind w:left="454"/>
        <w:jc w:val="both"/>
      </w:pPr>
      <w:r>
        <w:rPr>
          <w:rFonts w:ascii="Arial" w:hAnsi="Arial" w:eastAsia="Arial"/>
          <w:b w:val="0"/>
          <w:sz w:val="21"/>
        </w:rPr>
        <w:t>Regarding health expenditure trends:</w:t>
      </w:r>
    </w:p>
    <w:p>
      <w:pPr>
        <w:ind w:left="454"/>
        <w:jc w:val="both"/>
      </w:pPr>
    </w:p>
    <w:p>
      <w:pPr>
        <w:ind w:left="454"/>
        <w:jc w:val="both"/>
      </w:pPr>
      <w:r>
        <w:rPr>
          <w:rFonts w:ascii="Arial" w:hAnsi="Arial" w:eastAsia="Arial"/>
          <w:b w:val="0"/>
          <w:sz w:val="21"/>
        </w:rPr>
        <w:t xml:space="preserve">1. </w:t>
      </w:r>
      <w:r>
        <w:rPr>
          <w:rFonts w:ascii="Arial" w:hAnsi="Arial" w:eastAsia="Arial"/>
          <w:b/>
          <w:sz w:val="21"/>
        </w:rPr>
        <w:t>World Bank Data</w:t>
      </w:r>
      <w:r>
        <w:rPr>
          <w:rFonts w:ascii="Arial" w:hAnsi="Arial" w:eastAsia="Arial"/>
          <w:b w:val="0"/>
          <w:sz w:val="21"/>
        </w:rPr>
        <w:t>: The current health expenditure per capita in the USA increased over the period:</w:t>
      </w:r>
    </w:p>
    <w:p>
      <w:pPr>
        <w:ind w:left="454"/>
        <w:jc w:val="both"/>
      </w:pPr>
      <w:r>
        <w:rPr>
          <w:rFonts w:ascii="Arial" w:hAnsi="Arial" w:eastAsia="Arial"/>
          <w:b w:val="0"/>
          <w:sz w:val="21"/>
        </w:rPr>
        <w:t>- 2020: $11,648.50</w:t>
      </w:r>
    </w:p>
    <w:p>
      <w:pPr>
        <w:ind w:left="454"/>
        <w:jc w:val="both"/>
      </w:pPr>
      <w:r>
        <w:rPr>
          <w:rFonts w:ascii="Arial" w:hAnsi="Arial" w:eastAsia="Arial"/>
          <w:b w:val="0"/>
          <w:sz w:val="21"/>
        </w:rPr>
        <w:t>- 2021: $12,080.07</w:t>
      </w:r>
    </w:p>
    <w:p>
      <w:pPr>
        <w:ind w:left="454"/>
        <w:jc w:val="both"/>
      </w:pPr>
      <w:r>
        <w:rPr>
          <w:rFonts w:ascii="Arial" w:hAnsi="Arial" w:eastAsia="Arial"/>
          <w:b w:val="0"/>
          <w:sz w:val="21"/>
        </w:rPr>
        <w:t>- 2022: $12,586.20</w:t>
      </w:r>
    </w:p>
    <w:p>
      <w:pPr>
        <w:ind w:left="454"/>
        <w:jc w:val="both"/>
      </w:pPr>
    </w:p>
    <w:p>
      <w:pPr>
        <w:ind w:left="454"/>
        <w:jc w:val="both"/>
      </w:pPr>
      <w:r>
        <w:rPr>
          <w:rFonts w:ascii="Arial" w:hAnsi="Arial" w:eastAsia="Arial"/>
          <w:b w:val="0"/>
          <w:sz w:val="21"/>
        </w:rPr>
        <w:t xml:space="preserve">2. </w:t>
      </w:r>
      <w:r>
        <w:rPr>
          <w:rFonts w:ascii="Arial" w:hAnsi="Arial" w:eastAsia="Arial"/>
          <w:b/>
          <w:sz w:val="21"/>
        </w:rPr>
        <w:t>OECD Data</w:t>
      </w:r>
      <w:r>
        <w:rPr>
          <w:rFonts w:ascii="Arial" w:hAnsi="Arial" w:eastAsia="Arial"/>
          <w:b w:val="0"/>
          <w:sz w:val="21"/>
        </w:rPr>
        <w:t>: Health expenditure as a percentage of GDP in the USA decreased over the same period:</w:t>
      </w:r>
    </w:p>
    <w:p>
      <w:pPr>
        <w:ind w:left="454"/>
        <w:jc w:val="both"/>
      </w:pPr>
      <w:r>
        <w:rPr>
          <w:rFonts w:ascii="Arial" w:hAnsi="Arial" w:eastAsia="Arial"/>
          <w:b w:val="0"/>
          <w:sz w:val="21"/>
        </w:rPr>
        <w:t>- 2020: 18.734%</w:t>
      </w:r>
    </w:p>
    <w:p>
      <w:pPr>
        <w:ind w:left="454"/>
        <w:jc w:val="both"/>
      </w:pPr>
      <w:r>
        <w:rPr>
          <w:rFonts w:ascii="Arial" w:hAnsi="Arial" w:eastAsia="Arial"/>
          <w:b w:val="0"/>
          <w:sz w:val="21"/>
        </w:rPr>
        <w:t>- 2021: 17.53%</w:t>
      </w:r>
    </w:p>
    <w:p>
      <w:pPr>
        <w:ind w:left="454"/>
        <w:jc w:val="both"/>
      </w:pPr>
      <w:r>
        <w:rPr>
          <w:rFonts w:ascii="Arial" w:hAnsi="Arial" w:eastAsia="Arial"/>
          <w:b w:val="0"/>
          <w:sz w:val="21"/>
        </w:rPr>
        <w:t>- 2022: 16.744%</w:t>
      </w:r>
    </w:p>
    <w:p>
      <w:pPr>
        <w:ind w:left="454"/>
        <w:jc w:val="both"/>
      </w:pPr>
    </w:p>
    <w:p>
      <w:pPr>
        <w:ind w:left="454"/>
        <w:jc w:val="both"/>
      </w:pPr>
      <w:r>
        <w:rPr>
          <w:rFonts w:ascii="Arial" w:hAnsi="Arial" w:eastAsia="Arial"/>
          <w:b w:val="0"/>
          <w:sz w:val="21"/>
        </w:rPr>
        <w:t>Thus, the World Bank trend in health expenditure per capita moved in the opposite direction to the OECD trend in health expenditure as a percentage of GDP.</w:t>
      </w:r>
    </w:p>
    <w:p>
      <w:pPr>
        <w:jc w:val="center"/>
      </w:pPr>
      <w:r>
        <w:t>____________________________________________________________</w:t>
      </w:r>
    </w:p>
    <w:p>
      <w:pPr>
        <w:keepNext/>
        <w:spacing w:before="240"/>
        <w:jc w:val="left"/>
      </w:pPr>
      <w:r>
        <w:rPr>
          <w:rFonts w:ascii="Arial" w:hAnsi="Arial" w:eastAsia="Arial"/>
          <w:b/>
          <w:color w:val="1B4F72"/>
          <w:sz w:val="26"/>
        </w:rPr>
        <w:t>R16</w:t>
      </w:r>
    </w:p>
    <w:p>
      <w:pPr>
        <w:spacing w:after="120"/>
        <w:jc w:val="both"/>
      </w:pPr>
      <w:r>
        <w:rPr>
          <w:rFonts w:ascii="Arial" w:hAnsi="Arial" w:eastAsia="Arial"/>
          <w:b/>
          <w:sz w:val="22"/>
        </w:rPr>
        <w:t>Pregunta:</w:t>
      </w:r>
      <w:r>
        <w:rPr>
          <w:rFonts w:ascii="Arial" w:hAnsi="Arial" w:eastAsia="Arial"/>
          <w:b w:val="0"/>
          <w:sz w:val="22"/>
        </w:rPr>
        <w:t xml:space="preserve"> What was the main problem reported by users of the application during 2017–2019, how prevalent was it among negative reviews, and how did the World Bank out-of-pocket expenditure share and OECD health expenditure as a percentage of GDP change over the same period?</w:t>
      </w:r>
    </w:p>
    <w:p>
      <w:pPr>
        <w:spacing w:after="120"/>
        <w:jc w:val="both"/>
      </w:pPr>
      <w:r>
        <w:rPr>
          <w:rFonts w:ascii="Arial" w:hAnsi="Arial" w:eastAsia="Arial"/>
          <w:b/>
          <w:sz w:val="22"/>
        </w:rPr>
        <w:t>Llamadas a herramientas (en el orden emitido):</w:t>
      </w:r>
    </w:p>
    <w:p>
      <w:pPr>
        <w:ind w:left="454" w:hanging="283"/>
        <w:jc w:val="left"/>
      </w:pPr>
      <w:r>
        <w:rPr>
          <w:rFonts w:ascii="Arial" w:hAnsi="Arial" w:eastAsia="Arial"/>
          <w:b w:val="0"/>
          <w:sz w:val="22"/>
        </w:rPr>
        <w:t xml:space="preserve">1. </w:t>
      </w:r>
      <w:r>
        <w:rPr>
          <w:rFonts w:ascii="Consolas" w:hAnsi="Consolas" w:eastAsia="Consolas"/>
          <w:sz w:val="18"/>
        </w:rPr>
        <w:t>query_local_reviews</w:t>
      </w:r>
      <w:r>
        <w:rPr>
          <w:rFonts w:ascii="Arial" w:hAnsi="Arial" w:eastAsia="Arial"/>
          <w:b w:val="0"/>
          <w:sz w:val="22"/>
        </w:rPr>
        <w:t xml:space="preserve"> — argumentos: </w:t>
      </w:r>
      <w:r>
        <w:rPr>
          <w:rFonts w:ascii="Consolas" w:hAnsi="Consolas" w:eastAsia="Consolas"/>
          <w:sz w:val="18"/>
        </w:rPr>
        <w:t>{"start_date": "2017-01-01", "end_date": "2019-12-31"}</w:t>
      </w:r>
    </w:p>
    <w:p>
      <w:pPr>
        <w:spacing w:after="120"/>
        <w:jc w:val="both"/>
      </w:pPr>
      <w:r>
        <w:rPr>
          <w:rFonts w:ascii="Arial" w:hAnsi="Arial" w:eastAsia="Arial"/>
          <w:b w:val="0"/>
          <w:sz w:val="22"/>
        </w:rPr>
        <w:t>Resultado: OK</w:t>
      </w:r>
    </w:p>
    <w:p>
      <w:pPr>
        <w:ind w:left="454"/>
        <w:jc w:val="left"/>
      </w:pPr>
      <w:r>
        <w:rPr>
          <w:rFonts w:ascii="Consolas" w:hAnsi="Consolas" w:eastAsia="Consolas"/>
          <w:sz w:val="18"/>
        </w:rPr>
        <w:t>{"source": "local_reviews", "date_range": {"start": "2017-01-01", "end": "2019-12-31"}, "total_reviews": 8614, "valid_reviews_for_analysis": 8614, "sentiment_distribution": {"POS": 5817, "NEU": 676, "NEG": 2121}, "top_negative_keywords": [["citas", 898], ["nunca", 897], ["cita", 684], ["sacar", 661], ["puedo", 223], ["sirve", 215], ["puede", 204], ["nada", 199], ["disponibles", 198], ["mala", 198], ["dice", 154], ["uno", 140], ["ebais", 128], ["siempre", 127], ["tengo", 124]], "sample_negative_reviews": ["La aplicación esta bien, el problema es que nunca hay citas disponibles. Y eso hace que nunca use la aplicación.", "Agradecida", "Aquí en el coopesiba de San Roque, la verdad que para sacar una cita, siempre sale a relucir no hay citas disponibles, esperemos se arregle está situación, porque para eso se está pagando, muchas gracias.😠", "Demasiado mala", "No hay citas"], "negative_review_count": 2121, "topic_coverage": {"with_topic_assignment": 2121, "missing_topic_assignment_count": 0, "assigned_non_noise_count": 1417, "topic_noise_count": 704, "excluded_assigned_review_count": 144, "substantive_problem_count": 1273, "substantive_coverage_pct": 60.0189}, "problem_categories": [{"category": "ACCESO_CITAS", "count": 867, "pct_of_substantive_problems": 68.1068, "pct_of_negative_reviews": 40.8769}, {"category": "AUTENTICACION_ACCESO", "count": 123, "pct_of_substantive_problems": 9.6622, "pct_of_negative_reviews": 5.7992}, {"category": "INFORMACION_CLINICA", "count": 118, "pct_of_substantive_problems": 9.2694, "pct_of_negative_reviews": 5.5634}, {"category": "RENDIMIENTO_APP", "count": 79, "pct_of_substantive_problems": 6.2058, "pct_of_negative_reviews": 3.7247}, {"category": "REGISTRO_CUENTA", "count": 63, "pct_of_substantive_problems": 4.9489, "pct_of_negative_reviews": 2.9703}, {"category": "CALIDAD_ACTUALIZACION_INFO", "count": 16, "pct_of_substantive_problems": 1.2569, "pct_of_negative_reviews": 0.7544}, {"category": "INFORMACION_ADMINISTRATIVA", "count": 7, "pct_of_substantive_problems": 0.5499, "pct_of_negative_reviews": 0.33}], "main_problem": {"category": "ACCESO_CITAS", "count": 867, "pct_of_substantive_problems": 68.1068, "pct_of_negative_reviews": 40.8769}, "invalid_rating_count": 0, "invalid_rating_pct": 0.0}</w:t>
      </w:r>
    </w:p>
    <w:p>
      <w:pPr>
        <w:ind w:left="454" w:hanging="283"/>
        <w:jc w:val="left"/>
      </w:pPr>
      <w:r>
        <w:rPr>
          <w:rFonts w:ascii="Arial" w:hAnsi="Arial" w:eastAsia="Arial"/>
          <w:b w:val="0"/>
          <w:sz w:val="22"/>
        </w:rPr>
        <w:t xml:space="preserve">2. </w:t>
      </w:r>
      <w:r>
        <w:rPr>
          <w:rFonts w:ascii="Consolas" w:hAnsi="Consolas" w:eastAsia="Consolas"/>
          <w:sz w:val="18"/>
        </w:rPr>
        <w:t>get_worldbank_indicator</w:t>
      </w:r>
      <w:r>
        <w:rPr>
          <w:rFonts w:ascii="Arial" w:hAnsi="Arial" w:eastAsia="Arial"/>
          <w:b w:val="0"/>
          <w:sz w:val="22"/>
        </w:rPr>
        <w:t xml:space="preserve"> — argumentos: </w:t>
      </w:r>
      <w:r>
        <w:rPr>
          <w:rFonts w:ascii="Consolas" w:hAnsi="Consolas" w:eastAsia="Consolas"/>
          <w:sz w:val="18"/>
        </w:rPr>
        <w:t>{"country_iso3": "CRI", "start_year": 2017, "end_year": 2019, "indicator": "out_of_pocket_expenditure_pct_che"}</w:t>
      </w:r>
    </w:p>
    <w:p>
      <w:pPr>
        <w:spacing w:after="120"/>
        <w:jc w:val="both"/>
      </w:pPr>
      <w:r>
        <w:rPr>
          <w:rFonts w:ascii="Arial" w:hAnsi="Arial" w:eastAsia="Arial"/>
          <w:b w:val="0"/>
          <w:sz w:val="22"/>
        </w:rPr>
        <w:t>Resultado: OK</w:t>
      </w:r>
    </w:p>
    <w:p>
      <w:pPr>
        <w:ind w:left="454"/>
        <w:jc w:val="left"/>
      </w:pPr>
      <w:r>
        <w:rPr>
          <w:rFonts w:ascii="Consolas" w:hAnsi="Consolas" w:eastAsia="Consolas"/>
          <w:sz w:val="18"/>
        </w:rPr>
        <w:t>{"source": "World Bank", "indicator_code": "SH.XPD.OOPC.CH.ZS", "indicator_name": "Out-of-pocket expenditure (% of current health expenditure)", "country_iso3": "CRI", "observations": [{"year": "2017", "value": 21.25539017}, {"year": "2018", "value": 22.4164257}, {"year": "2019", "value": 22.32456398}], "query_url": "https://api.worldbank.org/v2/country/CRI/indicator/SH.XPD.OOPC.CH.ZS?format=json&amp;per_page=1000&amp;date=2017%3A2019"}</w:t>
      </w:r>
    </w:p>
    <w:p>
      <w:pPr>
        <w:ind w:left="454" w:hanging="283"/>
        <w:jc w:val="left"/>
      </w:pPr>
      <w:r>
        <w:rPr>
          <w:rFonts w:ascii="Arial" w:hAnsi="Arial" w:eastAsia="Arial"/>
          <w:b w:val="0"/>
          <w:sz w:val="22"/>
        </w:rPr>
        <w:t xml:space="preserve">3. </w:t>
      </w:r>
      <w:r>
        <w:rPr>
          <w:rFonts w:ascii="Consolas" w:hAnsi="Consolas" w:eastAsia="Consolas"/>
          <w:sz w:val="18"/>
        </w:rPr>
        <w:t>get_oecd_indicator</w:t>
      </w:r>
      <w:r>
        <w:rPr>
          <w:rFonts w:ascii="Arial" w:hAnsi="Arial" w:eastAsia="Arial"/>
          <w:b w:val="0"/>
          <w:sz w:val="22"/>
        </w:rPr>
        <w:t xml:space="preserve"> — argumentos: </w:t>
      </w:r>
      <w:r>
        <w:rPr>
          <w:rFonts w:ascii="Consolas" w:hAnsi="Consolas" w:eastAsia="Consolas"/>
          <w:sz w:val="18"/>
        </w:rPr>
        <w:t>{"indicator": "health_expenditure_pct_gdp", "country_iso3": "CRI", "start_period": "2017"}</w:t>
      </w:r>
    </w:p>
    <w:p>
      <w:pPr>
        <w:spacing w:after="120"/>
        <w:jc w:val="both"/>
      </w:pPr>
      <w:r>
        <w:rPr>
          <w:rFonts w:ascii="Arial" w:hAnsi="Arial" w:eastAsia="Arial"/>
          <w:b w:val="0"/>
          <w:sz w:val="22"/>
        </w:rPr>
        <w:t>Resultado: OK</w:t>
      </w:r>
    </w:p>
    <w:p>
      <w:pPr>
        <w:ind w:left="454"/>
        <w:jc w:val="left"/>
      </w:pPr>
      <w:r>
        <w:rPr>
          <w:rFonts w:ascii="Consolas" w:hAnsi="Consolas" w:eastAsia="Consolas"/>
          <w:sz w:val="18"/>
        </w:rPr>
        <w:t>{"source": "OECD", "dataflow": "OECD.ELS.HD,DSD_SHA@DF_SHA,", "key": "CRI.A.EXP_HEALTH.PT_B1GQ._T._Z._T._T._T._Z._Z._Z", "country_iso3": "CRI", "observations": [{"year": "2017", "value": 7.045}, {"year": "2018", "value": 7.286}, {"year": "2019", "value": 7.221}, {"year": "2020", "value": 7.825}, {"year": "2021", "value": 7.611}, {"year": "2022", "value": 7.184}, {"year": "2023", "value": 6.866}, {"year": "2024", "value": 6.91}, {"year": "2025", "value": 6.776}], "query_url": "https://sdmx.oecd.org/public/rest/data/OECD.ELS.HD,DSD_SHA@DF_SHA,/CRI.A.EXP_HEALTH.PT_B1GQ._T._Z._T._T._T._Z._Z._Z?startPeriod=2017", "response_meta": {"schema": "https://raw.githubusercontent.com/sdmx-twg/sdmx-json/master/data-message/tools/schemas/2.0.0/sdmx-json-data-schema.json", "id": "IREF001371", "prepared": "2026-09-07T03:01:05Z", "test": false, "contentLanguages": ["en", "en-US"], "sender": {"id": "Disseminate_Final_DMZ", "name": "unknown", "names": {"en-US": "unknown"}}}}</w:t>
      </w:r>
    </w:p>
    <w:p>
      <w:pPr>
        <w:spacing w:after="120"/>
        <w:jc w:val="both"/>
      </w:pPr>
      <w:r>
        <w:rPr>
          <w:rFonts w:ascii="Arial" w:hAnsi="Arial" w:eastAsia="Arial"/>
          <w:b/>
          <w:sz w:val="22"/>
        </w:rPr>
        <w:t>Respuesta final del sistema:</w:t>
      </w:r>
    </w:p>
    <w:p>
      <w:pPr>
        <w:ind w:left="454"/>
        <w:jc w:val="both"/>
      </w:pPr>
      <w:r>
        <w:rPr>
          <w:rFonts w:ascii="Arial" w:hAnsi="Arial" w:eastAsia="Arial"/>
          <w:b w:val="0"/>
          <w:sz w:val="21"/>
        </w:rPr>
        <w:t xml:space="preserve">Based on the analysis of the local user reviews and institutional health data, the country context is </w:t>
      </w:r>
      <w:r>
        <w:rPr>
          <w:rFonts w:ascii="Arial" w:hAnsi="Arial" w:eastAsia="Arial"/>
          <w:b/>
          <w:sz w:val="21"/>
        </w:rPr>
        <w:t>Costa Rica (CRI)</w:t>
      </w:r>
      <w:r>
        <w:rPr>
          <w:rFonts w:ascii="Arial" w:hAnsi="Arial" w:eastAsia="Arial"/>
          <w:b w:val="0"/>
          <w:sz w:val="21"/>
        </w:rPr>
        <w:t xml:space="preserve"> (indicated by local review references to *"ebais"*—the primary healthcare clinics of Costa Rica—and *"coopesiba de San Roque"*, a local health cooperative).</w:t>
      </w:r>
    </w:p>
    <w:p>
      <w:pPr>
        <w:ind w:left="454"/>
        <w:jc w:val="both"/>
      </w:pPr>
    </w:p>
    <w:p>
      <w:pPr>
        <w:ind w:left="454"/>
        <w:jc w:val="both"/>
      </w:pPr>
      <w:r>
        <w:rPr>
          <w:rFonts w:ascii="Arial" w:hAnsi="Arial" w:eastAsia="Arial"/>
          <w:b w:val="0"/>
          <w:sz w:val="21"/>
        </w:rPr>
        <w:t xml:space="preserve">Below is the detailed breakdown of the user-reported problems and the corresponding institutional health expenditure indicators for Costa Rica during the </w:t>
      </w:r>
      <w:r>
        <w:rPr>
          <w:rFonts w:ascii="Arial" w:hAnsi="Arial" w:eastAsia="Arial"/>
          <w:b/>
          <w:sz w:val="21"/>
        </w:rPr>
        <w:t>2017–2019</w:t>
      </w:r>
      <w:r>
        <w:rPr>
          <w:rFonts w:ascii="Arial" w:hAnsi="Arial" w:eastAsia="Arial"/>
          <w:b w:val="0"/>
          <w:sz w:val="21"/>
        </w:rPr>
        <w:t xml:space="preserve"> period.</w:t>
      </w:r>
    </w:p>
    <w:p>
      <w:pPr>
        <w:ind w:left="454"/>
        <w:jc w:val="both"/>
      </w:pPr>
    </w:p>
    <w:p>
      <w:pPr>
        <w:ind w:left="454"/>
        <w:jc w:val="both"/>
      </w:pPr>
      <w:r>
        <w:rPr>
          <w:rFonts w:ascii="Arial" w:hAnsi="Arial" w:eastAsia="Arial"/>
          <w:b w:val="0"/>
          <w:sz w:val="21"/>
        </w:rPr>
        <w:t>---</w:t>
      </w:r>
    </w:p>
    <w:p>
      <w:pPr>
        <w:ind w:left="454"/>
        <w:jc w:val="both"/>
      </w:pPr>
    </w:p>
    <w:p>
      <w:pPr>
        <w:ind w:left="454"/>
        <w:jc w:val="both"/>
      </w:pPr>
      <w:r>
        <w:rPr>
          <w:rFonts w:ascii="Arial" w:hAnsi="Arial" w:eastAsia="Arial"/>
          <w:b w:val="0"/>
          <w:sz w:val="21"/>
        </w:rPr>
        <w:t>### 1. Main Problem Reported by Users (2017–2019)</w:t>
      </w:r>
    </w:p>
    <w:p>
      <w:pPr>
        <w:ind w:left="454"/>
        <w:jc w:val="both"/>
      </w:pPr>
      <w:r>
        <w:rPr>
          <w:rFonts w:ascii="Arial" w:hAnsi="Arial" w:eastAsia="Arial"/>
          <w:b w:val="0"/>
          <w:sz w:val="21"/>
        </w:rPr>
        <w:t>During this three-year period, the digital health application received a total of 8,614 reviews, of which 2,121 were negative (1–2 stars).</w:t>
      </w:r>
    </w:p>
    <w:p>
      <w:pPr>
        <w:ind w:left="454"/>
        <w:jc w:val="both"/>
      </w:pPr>
    </w:p>
    <w:p>
      <w:pPr>
        <w:ind w:left="454"/>
        <w:jc w:val="both"/>
      </w:pPr>
      <w:r>
        <w:rPr>
          <w:rFonts w:ascii="Arial" w:hAnsi="Arial" w:eastAsia="Arial"/>
          <w:b w:val="0"/>
          <w:sz w:val="21"/>
        </w:rPr>
        <w:t xml:space="preserve">* </w:t>
      </w:r>
      <w:r>
        <w:rPr>
          <w:rFonts w:ascii="Arial" w:hAnsi="Arial" w:eastAsia="Arial"/>
          <w:b/>
          <w:sz w:val="21"/>
        </w:rPr>
        <w:t>The Main Problem:</w:t>
      </w:r>
      <w:r>
        <w:rPr>
          <w:rFonts w:ascii="Arial" w:hAnsi="Arial" w:eastAsia="Arial"/>
          <w:b w:val="0"/>
          <w:sz w:val="21"/>
        </w:rPr>
        <w:t xml:space="preserve"> </w:t>
      </w:r>
      <w:r>
        <w:rPr>
          <w:rFonts w:ascii="Arial" w:hAnsi="Arial" w:eastAsia="Arial"/>
          <w:b/>
          <w:sz w:val="21"/>
        </w:rPr>
        <w:t>Access to Appointments (`ACCESO_CITAS`)</w:t>
      </w:r>
      <w:r>
        <w:rPr>
          <w:rFonts w:ascii="Arial" w:hAnsi="Arial" w:eastAsia="Arial"/>
          <w:b w:val="0"/>
          <w:sz w:val="21"/>
        </w:rPr>
        <w:t>. Users frequently complained about the inability to find or book medical appointments through the app, with recurring phrases such as *"nunca hay citas disponibles"* (there are never appointments available) and *"no hay citas"* (there are no appointments).</w:t>
      </w:r>
    </w:p>
    <w:p>
      <w:pPr>
        <w:ind w:left="454"/>
        <w:jc w:val="both"/>
      </w:pPr>
      <w:r>
        <w:rPr>
          <w:rFonts w:ascii="Arial" w:hAnsi="Arial" w:eastAsia="Arial"/>
          <w:b w:val="0"/>
          <w:sz w:val="21"/>
        </w:rPr>
        <w:t xml:space="preserve">* </w:t>
      </w:r>
      <w:r>
        <w:rPr>
          <w:rFonts w:ascii="Arial" w:hAnsi="Arial" w:eastAsia="Arial"/>
          <w:b/>
          <w:sz w:val="21"/>
        </w:rPr>
        <w:t>Prevalence among Negative Reviews:</w:t>
      </w:r>
    </w:p>
    <w:p>
      <w:pPr>
        <w:ind w:left="454"/>
        <w:jc w:val="both"/>
      </w:pPr>
      <w:r>
        <w:rPr>
          <w:rFonts w:ascii="Arial" w:hAnsi="Arial" w:eastAsia="Arial"/>
          <w:b w:val="0"/>
          <w:sz w:val="21"/>
        </w:rPr>
        <w:t xml:space="preserve">* </w:t>
      </w:r>
      <w:r>
        <w:rPr>
          <w:rFonts w:ascii="Arial" w:hAnsi="Arial" w:eastAsia="Arial"/>
          <w:b/>
          <w:sz w:val="21"/>
        </w:rPr>
        <w:t>40.88%</w:t>
      </w:r>
      <w:r>
        <w:rPr>
          <w:rFonts w:ascii="Arial" w:hAnsi="Arial" w:eastAsia="Arial"/>
          <w:b w:val="0"/>
          <w:sz w:val="21"/>
        </w:rPr>
        <w:t xml:space="preserve"> of all negative reviews (867 out of 2,121 negative reviews) were directly attributed to this issue.</w:t>
      </w:r>
    </w:p>
    <w:p>
      <w:pPr>
        <w:ind w:left="454"/>
        <w:jc w:val="both"/>
      </w:pPr>
      <w:r>
        <w:rPr>
          <w:rFonts w:ascii="Arial" w:hAnsi="Arial" w:eastAsia="Arial"/>
          <w:b w:val="0"/>
          <w:sz w:val="21"/>
        </w:rPr>
        <w:t xml:space="preserve">* </w:t>
      </w:r>
      <w:r>
        <w:rPr>
          <w:rFonts w:ascii="Arial" w:hAnsi="Arial" w:eastAsia="Arial"/>
          <w:b/>
          <w:sz w:val="21"/>
        </w:rPr>
        <w:t>68.11%</w:t>
      </w:r>
      <w:r>
        <w:rPr>
          <w:rFonts w:ascii="Arial" w:hAnsi="Arial" w:eastAsia="Arial"/>
          <w:b w:val="0"/>
          <w:sz w:val="21"/>
        </w:rPr>
        <w:t xml:space="preserve"> of all classified substantive problems (excluding noise, generic dissatisfaction, or unclassifiable reviews) were related to appointment access, making it by far the most dominant complaint.</w:t>
      </w:r>
    </w:p>
    <w:p>
      <w:pPr>
        <w:ind w:left="454"/>
        <w:jc w:val="both"/>
      </w:pPr>
    </w:p>
    <w:p>
      <w:pPr>
        <w:ind w:left="454"/>
        <w:jc w:val="both"/>
      </w:pPr>
      <w:r>
        <w:rPr>
          <w:rFonts w:ascii="Arial" w:hAnsi="Arial" w:eastAsia="Arial"/>
          <w:b w:val="0"/>
          <w:sz w:val="21"/>
        </w:rPr>
        <w:t>---</w:t>
      </w:r>
    </w:p>
    <w:p>
      <w:pPr>
        <w:ind w:left="454"/>
        <w:jc w:val="both"/>
      </w:pPr>
    </w:p>
    <w:p>
      <w:pPr>
        <w:ind w:left="454"/>
        <w:jc w:val="both"/>
      </w:pPr>
      <w:r>
        <w:rPr>
          <w:rFonts w:ascii="Arial" w:hAnsi="Arial" w:eastAsia="Arial"/>
          <w:b w:val="0"/>
          <w:sz w:val="21"/>
        </w:rPr>
        <w:t>### 2. World Bank: Out-of-Pocket Expenditure Share (2017–2019)</w:t>
      </w:r>
    </w:p>
    <w:p>
      <w:pPr>
        <w:ind w:left="454"/>
        <w:jc w:val="both"/>
      </w:pPr>
      <w:r>
        <w:rPr>
          <w:rFonts w:ascii="Arial" w:hAnsi="Arial" w:eastAsia="Arial"/>
          <w:b w:val="0"/>
          <w:sz w:val="21"/>
        </w:rPr>
        <w:t>According to the World Bank's *Global Health Expenditure Database*, the out-of-pocket expenditure (as a % of current health expenditure) for Costa Rica changed as follows:</w:t>
      </w:r>
    </w:p>
    <w:p>
      <w:pPr>
        <w:ind w:left="454"/>
        <w:jc w:val="both"/>
      </w:pPr>
      <w:r>
        <w:rPr>
          <w:rFonts w:ascii="Arial" w:hAnsi="Arial" w:eastAsia="Arial"/>
          <w:b w:val="0"/>
          <w:sz w:val="21"/>
        </w:rPr>
        <w:t xml:space="preserve">* </w:t>
      </w:r>
      <w:r>
        <w:rPr>
          <w:rFonts w:ascii="Arial" w:hAnsi="Arial" w:eastAsia="Arial"/>
          <w:b/>
          <w:sz w:val="21"/>
        </w:rPr>
        <w:t>2017:</w:t>
      </w:r>
      <w:r>
        <w:rPr>
          <w:rFonts w:ascii="Arial" w:hAnsi="Arial" w:eastAsia="Arial"/>
          <w:b w:val="0"/>
          <w:sz w:val="21"/>
        </w:rPr>
        <w:t xml:space="preserve"> 21.26%</w:t>
      </w:r>
    </w:p>
    <w:p>
      <w:pPr>
        <w:ind w:left="454"/>
        <w:jc w:val="both"/>
      </w:pPr>
      <w:r>
        <w:rPr>
          <w:rFonts w:ascii="Arial" w:hAnsi="Arial" w:eastAsia="Arial"/>
          <w:b w:val="0"/>
          <w:sz w:val="21"/>
        </w:rPr>
        <w:t xml:space="preserve">* </w:t>
      </w:r>
      <w:r>
        <w:rPr>
          <w:rFonts w:ascii="Arial" w:hAnsi="Arial" w:eastAsia="Arial"/>
          <w:b/>
          <w:sz w:val="21"/>
        </w:rPr>
        <w:t>2018:</w:t>
      </w:r>
      <w:r>
        <w:rPr>
          <w:rFonts w:ascii="Arial" w:hAnsi="Arial" w:eastAsia="Arial"/>
          <w:b w:val="0"/>
          <w:sz w:val="21"/>
        </w:rPr>
        <w:t xml:space="preserve"> 22.42%</w:t>
      </w:r>
    </w:p>
    <w:p>
      <w:pPr>
        <w:ind w:left="454"/>
        <w:jc w:val="both"/>
      </w:pPr>
      <w:r>
        <w:rPr>
          <w:rFonts w:ascii="Arial" w:hAnsi="Arial" w:eastAsia="Arial"/>
          <w:b w:val="0"/>
          <w:sz w:val="21"/>
        </w:rPr>
        <w:t xml:space="preserve">* </w:t>
      </w:r>
      <w:r>
        <w:rPr>
          <w:rFonts w:ascii="Arial" w:hAnsi="Arial" w:eastAsia="Arial"/>
          <w:b/>
          <w:sz w:val="21"/>
        </w:rPr>
        <w:t>2019:</w:t>
      </w:r>
      <w:r>
        <w:rPr>
          <w:rFonts w:ascii="Arial" w:hAnsi="Arial" w:eastAsia="Arial"/>
          <w:b w:val="0"/>
          <w:sz w:val="21"/>
        </w:rPr>
        <w:t xml:space="preserve"> 22.32%</w:t>
      </w:r>
    </w:p>
    <w:p>
      <w:pPr>
        <w:ind w:left="454"/>
        <w:jc w:val="both"/>
      </w:pPr>
      <w:r>
        <w:rPr>
          <w:rFonts w:ascii="Arial" w:hAnsi="Arial" w:eastAsia="Arial"/>
          <w:b w:val="0"/>
          <w:sz w:val="21"/>
        </w:rPr>
        <w:t xml:space="preserve">* </w:t>
      </w:r>
      <w:r>
        <w:rPr>
          <w:rFonts w:ascii="Arial" w:hAnsi="Arial" w:eastAsia="Arial"/>
          <w:b/>
          <w:sz w:val="21"/>
        </w:rPr>
        <w:t>Trend:</w:t>
      </w:r>
      <w:r>
        <w:rPr>
          <w:rFonts w:ascii="Arial" w:hAnsi="Arial" w:eastAsia="Arial"/>
          <w:b w:val="0"/>
          <w:sz w:val="21"/>
        </w:rPr>
        <w:t xml:space="preserve"> Out-of-pocket spending rose by </w:t>
      </w:r>
      <w:r>
        <w:rPr>
          <w:rFonts w:ascii="Arial" w:hAnsi="Arial" w:eastAsia="Arial"/>
          <w:b/>
          <w:sz w:val="21"/>
        </w:rPr>
        <w:t>1.16 percentage points</w:t>
      </w:r>
      <w:r>
        <w:rPr>
          <w:rFonts w:ascii="Arial" w:hAnsi="Arial" w:eastAsia="Arial"/>
          <w:b w:val="0"/>
          <w:sz w:val="21"/>
        </w:rPr>
        <w:t xml:space="preserve"> between 2017 and 2018, followed by a minor decrease of </w:t>
      </w:r>
      <w:r>
        <w:rPr>
          <w:rFonts w:ascii="Arial" w:hAnsi="Arial" w:eastAsia="Arial"/>
          <w:b/>
          <w:sz w:val="21"/>
        </w:rPr>
        <w:t>0.10 percentage points</w:t>
      </w:r>
      <w:r>
        <w:rPr>
          <w:rFonts w:ascii="Arial" w:hAnsi="Arial" w:eastAsia="Arial"/>
          <w:b w:val="0"/>
          <w:sz w:val="21"/>
        </w:rPr>
        <w:t xml:space="preserve"> in 2019. Over the entire period, there was a net increase of </w:t>
      </w:r>
      <w:r>
        <w:rPr>
          <w:rFonts w:ascii="Arial" w:hAnsi="Arial" w:eastAsia="Arial"/>
          <w:b/>
          <w:sz w:val="21"/>
        </w:rPr>
        <w:t>1.07 percentage points</w:t>
      </w:r>
      <w:r>
        <w:rPr>
          <w:rFonts w:ascii="Arial" w:hAnsi="Arial" w:eastAsia="Arial"/>
          <w:b w:val="0"/>
          <w:sz w:val="21"/>
        </w:rPr>
        <w:t xml:space="preserve"> in the share of health expenses paid directly by citizens.</w:t>
      </w:r>
    </w:p>
    <w:p>
      <w:pPr>
        <w:ind w:left="454"/>
        <w:jc w:val="both"/>
      </w:pPr>
    </w:p>
    <w:p>
      <w:pPr>
        <w:ind w:left="454"/>
        <w:jc w:val="both"/>
      </w:pPr>
      <w:r>
        <w:rPr>
          <w:rFonts w:ascii="Arial" w:hAnsi="Arial" w:eastAsia="Arial"/>
          <w:b w:val="0"/>
          <w:sz w:val="21"/>
        </w:rPr>
        <w:t>---</w:t>
      </w:r>
    </w:p>
    <w:p>
      <w:pPr>
        <w:ind w:left="454"/>
        <w:jc w:val="both"/>
      </w:pPr>
    </w:p>
    <w:p>
      <w:pPr>
        <w:ind w:left="454"/>
        <w:jc w:val="both"/>
      </w:pPr>
      <w:r>
        <w:rPr>
          <w:rFonts w:ascii="Arial" w:hAnsi="Arial" w:eastAsia="Arial"/>
          <w:b w:val="0"/>
          <w:sz w:val="21"/>
        </w:rPr>
        <w:t>### 3. OECD: Health Expenditure as a Percentage of GDP (2017–2019)</w:t>
      </w:r>
    </w:p>
    <w:p>
      <w:pPr>
        <w:ind w:left="454"/>
        <w:jc w:val="both"/>
      </w:pPr>
      <w:r>
        <w:rPr>
          <w:rFonts w:ascii="Arial" w:hAnsi="Arial" w:eastAsia="Arial"/>
          <w:b w:val="0"/>
          <w:sz w:val="21"/>
        </w:rPr>
        <w:t>According to the OECD's *System of Health Accounts*, Costa Rica's total health expenditure as a percentage of its GDP changed as follows:</w:t>
      </w:r>
    </w:p>
    <w:p>
      <w:pPr>
        <w:ind w:left="454"/>
        <w:jc w:val="both"/>
      </w:pPr>
      <w:r>
        <w:rPr>
          <w:rFonts w:ascii="Arial" w:hAnsi="Arial" w:eastAsia="Arial"/>
          <w:b w:val="0"/>
          <w:sz w:val="21"/>
        </w:rPr>
        <w:t xml:space="preserve">* </w:t>
      </w:r>
      <w:r>
        <w:rPr>
          <w:rFonts w:ascii="Arial" w:hAnsi="Arial" w:eastAsia="Arial"/>
          <w:b/>
          <w:sz w:val="21"/>
        </w:rPr>
        <w:t>2017:</w:t>
      </w:r>
      <w:r>
        <w:rPr>
          <w:rFonts w:ascii="Arial" w:hAnsi="Arial" w:eastAsia="Arial"/>
          <w:b w:val="0"/>
          <w:sz w:val="21"/>
        </w:rPr>
        <w:t xml:space="preserve"> 7.045%</w:t>
      </w:r>
    </w:p>
    <w:p>
      <w:pPr>
        <w:ind w:left="454"/>
        <w:jc w:val="both"/>
      </w:pPr>
      <w:r>
        <w:rPr>
          <w:rFonts w:ascii="Arial" w:hAnsi="Arial" w:eastAsia="Arial"/>
          <w:b w:val="0"/>
          <w:sz w:val="21"/>
        </w:rPr>
        <w:t xml:space="preserve">* </w:t>
      </w:r>
      <w:r>
        <w:rPr>
          <w:rFonts w:ascii="Arial" w:hAnsi="Arial" w:eastAsia="Arial"/>
          <w:b/>
          <w:sz w:val="21"/>
        </w:rPr>
        <w:t>2018:</w:t>
      </w:r>
      <w:r>
        <w:rPr>
          <w:rFonts w:ascii="Arial" w:hAnsi="Arial" w:eastAsia="Arial"/>
          <w:b w:val="0"/>
          <w:sz w:val="21"/>
        </w:rPr>
        <w:t xml:space="preserve"> 7.286%</w:t>
      </w:r>
    </w:p>
    <w:p>
      <w:pPr>
        <w:ind w:left="454"/>
        <w:jc w:val="both"/>
      </w:pPr>
      <w:r>
        <w:rPr>
          <w:rFonts w:ascii="Arial" w:hAnsi="Arial" w:eastAsia="Arial"/>
          <w:b w:val="0"/>
          <w:sz w:val="21"/>
        </w:rPr>
        <w:t xml:space="preserve">* </w:t>
      </w:r>
      <w:r>
        <w:rPr>
          <w:rFonts w:ascii="Arial" w:hAnsi="Arial" w:eastAsia="Arial"/>
          <w:b/>
          <w:sz w:val="21"/>
        </w:rPr>
        <w:t>2019:</w:t>
      </w:r>
      <w:r>
        <w:rPr>
          <w:rFonts w:ascii="Arial" w:hAnsi="Arial" w:eastAsia="Arial"/>
          <w:b w:val="0"/>
          <w:sz w:val="21"/>
        </w:rPr>
        <w:t xml:space="preserve"> 7.221%</w:t>
      </w:r>
    </w:p>
    <w:p>
      <w:pPr>
        <w:ind w:left="454"/>
        <w:jc w:val="both"/>
      </w:pPr>
      <w:r>
        <w:rPr>
          <w:rFonts w:ascii="Arial" w:hAnsi="Arial" w:eastAsia="Arial"/>
          <w:b w:val="0"/>
          <w:sz w:val="21"/>
        </w:rPr>
        <w:t xml:space="preserve">* </w:t>
      </w:r>
      <w:r>
        <w:rPr>
          <w:rFonts w:ascii="Arial" w:hAnsi="Arial" w:eastAsia="Arial"/>
          <w:b/>
          <w:sz w:val="21"/>
        </w:rPr>
        <w:t>Trend:</w:t>
      </w:r>
      <w:r>
        <w:rPr>
          <w:rFonts w:ascii="Arial" w:hAnsi="Arial" w:eastAsia="Arial"/>
          <w:b w:val="0"/>
          <w:sz w:val="21"/>
        </w:rPr>
        <w:t xml:space="preserve"> Total health spending relative to GDP increased by </w:t>
      </w:r>
      <w:r>
        <w:rPr>
          <w:rFonts w:ascii="Arial" w:hAnsi="Arial" w:eastAsia="Arial"/>
          <w:b/>
          <w:sz w:val="21"/>
        </w:rPr>
        <w:t>0.241 percentage points</w:t>
      </w:r>
      <w:r>
        <w:rPr>
          <w:rFonts w:ascii="Arial" w:hAnsi="Arial" w:eastAsia="Arial"/>
          <w:b w:val="0"/>
          <w:sz w:val="21"/>
        </w:rPr>
        <w:t xml:space="preserve"> from 2017 to 2018, followed by a slight contraction of </w:t>
      </w:r>
      <w:r>
        <w:rPr>
          <w:rFonts w:ascii="Arial" w:hAnsi="Arial" w:eastAsia="Arial"/>
          <w:b/>
          <w:sz w:val="21"/>
        </w:rPr>
        <w:t>0.065 percentage points</w:t>
      </w:r>
      <w:r>
        <w:rPr>
          <w:rFonts w:ascii="Arial" w:hAnsi="Arial" w:eastAsia="Arial"/>
          <w:b w:val="0"/>
          <w:sz w:val="21"/>
        </w:rPr>
        <w:t xml:space="preserve"> in 2019. Over the entire period, there was a net increase of </w:t>
      </w:r>
      <w:r>
        <w:rPr>
          <w:rFonts w:ascii="Arial" w:hAnsi="Arial" w:eastAsia="Arial"/>
          <w:b/>
          <w:sz w:val="21"/>
        </w:rPr>
        <w:t>0.176 percentage points</w:t>
      </w:r>
      <w:r>
        <w:rPr>
          <w:rFonts w:ascii="Arial" w:hAnsi="Arial" w:eastAsia="Arial"/>
          <w:b w:val="0"/>
          <w:sz w:val="21"/>
        </w:rPr>
        <w:t>.</w:t>
      </w:r>
    </w:p>
    <w:p>
      <w:pPr>
        <w:ind w:left="454"/>
        <w:jc w:val="both"/>
      </w:pPr>
    </w:p>
    <w:p>
      <w:pPr>
        <w:ind w:left="454"/>
        <w:jc w:val="both"/>
      </w:pPr>
      <w:r>
        <w:rPr>
          <w:rFonts w:ascii="Arial" w:hAnsi="Arial" w:eastAsia="Arial"/>
          <w:b w:val="0"/>
          <w:sz w:val="21"/>
        </w:rPr>
        <w:t>---</w:t>
      </w:r>
    </w:p>
    <w:p>
      <w:pPr>
        <w:ind w:left="454"/>
        <w:jc w:val="both"/>
      </w:pPr>
    </w:p>
    <w:p>
      <w:pPr>
        <w:ind w:left="454"/>
        <w:jc w:val="both"/>
      </w:pPr>
      <w:r>
        <w:rPr>
          <w:rFonts w:ascii="Arial" w:hAnsi="Arial" w:eastAsia="Arial"/>
          <w:b w:val="0"/>
          <w:sz w:val="21"/>
        </w:rPr>
        <w:t>### Summary of Trends</w:t>
      </w:r>
    </w:p>
    <w:p>
      <w:pPr>
        <w:ind w:left="454"/>
        <w:jc w:val="both"/>
      </w:pPr>
      <w:r>
        <w:rPr>
          <w:rFonts w:ascii="Arial" w:hAnsi="Arial" w:eastAsia="Arial"/>
          <w:b w:val="0"/>
          <w:sz w:val="21"/>
        </w:rPr>
        <w:t>Between 2017 and 2019, both institutional indicators followed a highly similar trajectory: a noticeable increase in 2018 followed by a minor stabilization/dip in 2019.</w:t>
      </w:r>
    </w:p>
    <w:p>
      <w:pPr>
        <w:ind w:left="454"/>
        <w:jc w:val="both"/>
      </w:pPr>
    </w:p>
    <w:p>
      <w:pPr>
        <w:ind w:left="454"/>
        <w:jc w:val="both"/>
      </w:pPr>
      <w:r>
        <w:rPr>
          <w:rFonts w:ascii="Arial" w:hAnsi="Arial" w:eastAsia="Arial"/>
          <w:b w:val="0"/>
          <w:sz w:val="21"/>
        </w:rPr>
        <w:t>During this same timeframe, citizens using the public health application faced persistent barriers to accessing primary care appointments digitally. This core service delivery bottleneck (</w:t>
      </w:r>
      <w:r>
        <w:rPr>
          <w:rFonts w:ascii="Consolas" w:hAnsi="Consolas" w:eastAsia="Consolas"/>
          <w:sz w:val="17"/>
        </w:rPr>
        <w:t>ACCESO_CITAS</w:t>
      </w:r>
      <w:r>
        <w:rPr>
          <w:rFonts w:ascii="Arial" w:hAnsi="Arial" w:eastAsia="Arial"/>
          <w:b w:val="0"/>
          <w:sz w:val="21"/>
        </w:rPr>
        <w:t>) remained the primary driver of negative user sentiment, reflecting a gap between institutional health spending levels and the practical user experience of accessing care.</w:t>
      </w:r>
    </w:p>
    <w:p>
      <w:pPr>
        <w:jc w:val="center"/>
      </w:pPr>
      <w:r>
        <w:t>____________________________________________________________</w:t>
      </w:r>
    </w:p>
    <w:p>
      <w:pPr>
        <w:keepNext/>
        <w:spacing w:before="240"/>
        <w:jc w:val="left"/>
      </w:pPr>
      <w:r>
        <w:rPr>
          <w:rFonts w:ascii="Arial" w:hAnsi="Arial" w:eastAsia="Arial"/>
          <w:b/>
          <w:color w:val="1B4F72"/>
          <w:sz w:val="26"/>
        </w:rPr>
        <w:t>R17</w:t>
      </w:r>
    </w:p>
    <w:p>
      <w:pPr>
        <w:spacing w:after="120"/>
        <w:jc w:val="both"/>
      </w:pPr>
      <w:r>
        <w:rPr>
          <w:rFonts w:ascii="Arial" w:hAnsi="Arial" w:eastAsia="Arial"/>
          <w:b/>
          <w:sz w:val="22"/>
        </w:rPr>
        <w:t>Pregunta:</w:t>
      </w:r>
      <w:r>
        <w:rPr>
          <w:rFonts w:ascii="Arial" w:hAnsi="Arial" w:eastAsia="Arial"/>
          <w:b w:val="0"/>
          <w:sz w:val="22"/>
        </w:rPr>
        <w:t xml:space="preserve"> What was the most frequent word (or words, if there is a tie) among negative application reviews during 2021–2023, how frequent was it relative to all negative reviews, and how did the World Bank domestic general government health expenditure as a percentage of GDP and OECD health expenditure as a percentage of GDP change over the same period?</w:t>
      </w:r>
    </w:p>
    <w:p>
      <w:pPr>
        <w:spacing w:after="120"/>
        <w:jc w:val="both"/>
      </w:pPr>
      <w:r>
        <w:rPr>
          <w:rFonts w:ascii="Arial" w:hAnsi="Arial" w:eastAsia="Arial"/>
          <w:b/>
          <w:sz w:val="22"/>
        </w:rPr>
        <w:t>Llamadas a herramientas (en el orden emitido):</w:t>
      </w:r>
    </w:p>
    <w:p>
      <w:pPr>
        <w:ind w:left="454" w:hanging="283"/>
        <w:jc w:val="left"/>
      </w:pPr>
      <w:r>
        <w:rPr>
          <w:rFonts w:ascii="Arial" w:hAnsi="Arial" w:eastAsia="Arial"/>
          <w:b w:val="0"/>
          <w:sz w:val="22"/>
        </w:rPr>
        <w:t xml:space="preserve">1. </w:t>
      </w:r>
      <w:r>
        <w:rPr>
          <w:rFonts w:ascii="Consolas" w:hAnsi="Consolas" w:eastAsia="Consolas"/>
          <w:sz w:val="18"/>
        </w:rPr>
        <w:t>query_local_reviews</w:t>
      </w:r>
      <w:r>
        <w:rPr>
          <w:rFonts w:ascii="Arial" w:hAnsi="Arial" w:eastAsia="Arial"/>
          <w:b w:val="0"/>
          <w:sz w:val="22"/>
        </w:rPr>
        <w:t xml:space="preserve"> — argumentos: </w:t>
      </w:r>
      <w:r>
        <w:rPr>
          <w:rFonts w:ascii="Consolas" w:hAnsi="Consolas" w:eastAsia="Consolas"/>
          <w:sz w:val="18"/>
        </w:rPr>
        <w:t>{"start_date": "2021-01-01", "end_date": "2023-12-31"}</w:t>
      </w:r>
    </w:p>
    <w:p>
      <w:pPr>
        <w:spacing w:after="120"/>
        <w:jc w:val="both"/>
      </w:pPr>
      <w:r>
        <w:rPr>
          <w:rFonts w:ascii="Arial" w:hAnsi="Arial" w:eastAsia="Arial"/>
          <w:b w:val="0"/>
          <w:sz w:val="22"/>
        </w:rPr>
        <w:t>Resultado: OK</w:t>
      </w:r>
    </w:p>
    <w:p>
      <w:pPr>
        <w:ind w:left="454"/>
        <w:jc w:val="left"/>
      </w:pPr>
      <w:r>
        <w:rPr>
          <w:rFonts w:ascii="Consolas" w:hAnsi="Consolas" w:eastAsia="Consolas"/>
          <w:sz w:val="18"/>
        </w:rPr>
        <w:t>{"source": "local_reviews", "date_range": {"start": "2021-01-01", "end": "2023-12-31"}, "total_reviews": 28488, "valid_reviews_for_analysis": 28488, "sentiment_distribution": {"POS": 20468, "NEG": 5926, "NEU": 2094}, "top_negative_keywords": [["citas", 2583], ["nunca", 2307], ["sacar", 1892], ["cita", 1885], ["mala", 662], ["puede", 623], ["sirve", 528], ["nada", 478], ["uno", 450], ["disponibles", 449], ["pésima", 362], ["puedo", 358], ["dice", 301], ["información", 300], ["solo", 289]], "sample_negative_reviews": ["Es demasiado mala, casi nunca funciona bien, si trato de reestablecer mi contraseña, me envía lun link a mi correo registrado, sigo el link, e introduzca mi nueva contraseña, pero me da un fallo. Trato de reestablecer de nuevo, pero ya no me genera un nuevo correo de recuperación de contraseña. Es una de las peores aplicaciones que existen.", "Me cae mal esta aplicación porque nunca hay cita cuando en realidad lo necesita.", "Rara vez se encuentran citas, y no actualizan la información", "La verdad solo porque duré días sin conectarme, intento entrar y me pide iniciar sesión, la cual olvidé mi contraseña e intento recuperar y me dicen que el código es incorrecto. La verdad no veo seriedad en eso.", "Regular"], "negative_review_count": 5926, "topic_coverage": {"with_topic_assignment": 5926, "missing_topic_assignment_count": 0, "assigned_non_noise_count": 3971, "topic_noise_count": 1955, "excluded_assigned_review_count": 496, "substantive_problem_count": 3475, "substantive_coverage_pct": 58.6399}, "problem_categories": [{"category": "ACCESO_CITAS", "count": 2275, "pct_of_substantive_problems": 65.4676, "pct_of_negative_reviews": 38.3901}, {"category": "INFORMACION_CLINICA", "count": 464, "pct_of_substantive_problems": 13.3525, "pct_of_negative_reviews": 7.8299}, {"category": "RENDIMIENTO_APP", "count": 301, "pct_of_substantive_problems": 8.6619, "pct_of_negative_reviews": 5.0793}, {"category": "AUTENTICACION_ACCESO", "count": 264, "pct_of_substantive_problems": 7.5971, "pct_of_negative_reviews": 4.4549}, {"category": "CALIDAD_ACTUALIZACION_INFO", "count": 79, "pct_of_substantive_problems": 2.2734, "pct_of_negative_reviews": 1.3331}, {"category": "INFORMACION_ADMINISTRATIVA", "count": 52, "pct_of_substantive_problems": 1.4964, "pct_of_negative_reviews": 0.8775}, {"category": "REGISTRO_CUENTA", "count": 40, "pct_of_substantive_problems": 1.1511, "pct_of_negative_reviews": 0.675}], "main_problem": {"category": "ACCESO_CITAS", "count": 2275, "pct_of_substantive_problems": 65.4676, "pct_of_negative_reviews": 38.3901}, "invalid_rating_count": 0, "invalid_rating_pct": 0.0}</w:t>
      </w:r>
    </w:p>
    <w:p>
      <w:pPr>
        <w:ind w:left="454" w:hanging="283"/>
        <w:jc w:val="left"/>
      </w:pPr>
      <w:r>
        <w:rPr>
          <w:rFonts w:ascii="Arial" w:hAnsi="Arial" w:eastAsia="Arial"/>
          <w:b w:val="0"/>
          <w:sz w:val="22"/>
        </w:rPr>
        <w:t xml:space="preserve">2. </w:t>
      </w:r>
      <w:r>
        <w:rPr>
          <w:rFonts w:ascii="Consolas" w:hAnsi="Consolas" w:eastAsia="Consolas"/>
          <w:sz w:val="18"/>
        </w:rPr>
        <w:t>get_worldbank_indicator</w:t>
      </w:r>
      <w:r>
        <w:rPr>
          <w:rFonts w:ascii="Arial" w:hAnsi="Arial" w:eastAsia="Arial"/>
          <w:b w:val="0"/>
          <w:sz w:val="22"/>
        </w:rPr>
        <w:t xml:space="preserve"> — argumentos: </w:t>
      </w:r>
      <w:r>
        <w:rPr>
          <w:rFonts w:ascii="Consolas" w:hAnsi="Consolas" w:eastAsia="Consolas"/>
          <w:sz w:val="18"/>
        </w:rPr>
        <w:t>{"indicator": "domestic_govt_health_expenditure_pct_gdp", "start_year": 2021, "end_year": 2023, "country_iso3": "CRI"}</w:t>
      </w:r>
    </w:p>
    <w:p>
      <w:pPr>
        <w:spacing w:after="120"/>
        <w:jc w:val="both"/>
      </w:pPr>
      <w:r>
        <w:rPr>
          <w:rFonts w:ascii="Arial" w:hAnsi="Arial" w:eastAsia="Arial"/>
          <w:b w:val="0"/>
          <w:sz w:val="22"/>
        </w:rPr>
        <w:t>Resultado: OK</w:t>
      </w:r>
    </w:p>
    <w:p>
      <w:pPr>
        <w:ind w:left="454"/>
        <w:jc w:val="left"/>
      </w:pPr>
      <w:r>
        <w:rPr>
          <w:rFonts w:ascii="Consolas" w:hAnsi="Consolas" w:eastAsia="Consolas"/>
          <w:sz w:val="18"/>
        </w:rPr>
        <w:t>{"source": "World Bank", "indicator_code": "SH.XPD.GHED.GD.ZS", "indicator_name": "Domestic general government health expenditure (% of GDP)", "country_iso3": "CRI", "observations": [{"year": "2021", "value": 5.35382223}, {"year": "2022", "value": 4.95363188}, {"year": "2023", "value": 4.61124086}], "query_url": "https://api.worldbank.org/v2/country/CRI/indicator/SH.XPD.GHED.GD.ZS?format=json&amp;per_page=1000&amp;date=2021%3A2023"}</w:t>
      </w:r>
    </w:p>
    <w:p>
      <w:pPr>
        <w:ind w:left="454" w:hanging="283"/>
        <w:jc w:val="left"/>
      </w:pPr>
      <w:r>
        <w:rPr>
          <w:rFonts w:ascii="Arial" w:hAnsi="Arial" w:eastAsia="Arial"/>
          <w:b w:val="0"/>
          <w:sz w:val="22"/>
        </w:rPr>
        <w:t xml:space="preserve">3. </w:t>
      </w:r>
      <w:r>
        <w:rPr>
          <w:rFonts w:ascii="Consolas" w:hAnsi="Consolas" w:eastAsia="Consolas"/>
          <w:sz w:val="18"/>
        </w:rPr>
        <w:t>get_oecd_indicator</w:t>
      </w:r>
      <w:r>
        <w:rPr>
          <w:rFonts w:ascii="Arial" w:hAnsi="Arial" w:eastAsia="Arial"/>
          <w:b w:val="0"/>
          <w:sz w:val="22"/>
        </w:rPr>
        <w:t xml:space="preserve"> — argumentos: </w:t>
      </w:r>
      <w:r>
        <w:rPr>
          <w:rFonts w:ascii="Consolas" w:hAnsi="Consolas" w:eastAsia="Consolas"/>
          <w:sz w:val="18"/>
        </w:rPr>
        <w:t>{"start_period": "2021", "country_iso3": "CRI", "indicator": "health_expenditure_pct_gdp"}</w:t>
      </w:r>
    </w:p>
    <w:p>
      <w:pPr>
        <w:spacing w:after="120"/>
        <w:jc w:val="both"/>
      </w:pPr>
      <w:r>
        <w:rPr>
          <w:rFonts w:ascii="Arial" w:hAnsi="Arial" w:eastAsia="Arial"/>
          <w:b w:val="0"/>
          <w:sz w:val="22"/>
        </w:rPr>
        <w:t>Resultado: OK</w:t>
      </w:r>
    </w:p>
    <w:p>
      <w:pPr>
        <w:ind w:left="454"/>
        <w:jc w:val="left"/>
      </w:pPr>
      <w:r>
        <w:rPr>
          <w:rFonts w:ascii="Consolas" w:hAnsi="Consolas" w:eastAsia="Consolas"/>
          <w:sz w:val="18"/>
        </w:rPr>
        <w:t>{"source": "OECD", "dataflow": "OECD.ELS.HD,DSD_SHA@DF_SHA,", "key": "CRI.A.EXP_HEALTH.PT_B1GQ._T._Z._T._T._T._Z._Z._Z", "country_iso3": "CRI", "observations": [{"year": "2021", "value": 7.611}, {"year": "2022", "value": 7.184}, {"year": "2023", "value": 6.866}, {"year": "2024", "value": 6.91}, {"year": "2025", "value": 6.776}], "query_url": "https://sdmx.oecd.org/public/rest/data/OECD.ELS.HD,DSD_SHA@DF_SHA,/CRI.A.EXP_HEALTH.PT_B1GQ._T._Z._T._T._T._Z._Z._Z?startPeriod=2021", "response_meta": {"schema": "https://raw.githubusercontent.com/sdmx-twg/sdmx-json/master/data-message/tools/schemas/2.0.0/sdmx-json-data-schema.json", "id": "IREF001005", "prepared": "2026-09-07T02:46:32Z", "test": false, "contentLanguages": ["en", "en-US"], "sender": {"id": "Disseminate_Final_DMZ", "name": "unknown", "names": {"en-US": "unknown"}}}}</w:t>
      </w:r>
    </w:p>
    <w:p>
      <w:pPr>
        <w:spacing w:after="120"/>
        <w:jc w:val="both"/>
      </w:pPr>
      <w:r>
        <w:rPr>
          <w:rFonts w:ascii="Arial" w:hAnsi="Arial" w:eastAsia="Arial"/>
          <w:b/>
          <w:sz w:val="22"/>
        </w:rPr>
        <w:t>Respuesta final del sistema:</w:t>
      </w:r>
    </w:p>
    <w:p>
      <w:pPr>
        <w:ind w:left="454"/>
        <w:jc w:val="both"/>
      </w:pPr>
      <w:r>
        <w:rPr>
          <w:rFonts w:ascii="Arial" w:hAnsi="Arial" w:eastAsia="Arial"/>
          <w:b w:val="0"/>
          <w:sz w:val="21"/>
        </w:rPr>
        <w:t xml:space="preserve">Based on the analysis of the local digital health application reviews and institutional health indicators for </w:t>
      </w:r>
      <w:r>
        <w:rPr>
          <w:rFonts w:ascii="Arial" w:hAnsi="Arial" w:eastAsia="Arial"/>
          <w:b/>
          <w:sz w:val="21"/>
        </w:rPr>
        <w:t>Costa Rica (CRI)</w:t>
      </w:r>
      <w:r>
        <w:rPr>
          <w:rFonts w:ascii="Arial" w:hAnsi="Arial" w:eastAsia="Arial"/>
          <w:b w:val="0"/>
          <w:sz w:val="21"/>
        </w:rPr>
        <w:t xml:space="preserve">, here are the findings for the period </w:t>
      </w:r>
      <w:r>
        <w:rPr>
          <w:rFonts w:ascii="Arial" w:hAnsi="Arial" w:eastAsia="Arial"/>
          <w:b/>
          <w:sz w:val="21"/>
        </w:rPr>
        <w:t>2021–2023</w:t>
      </w:r>
      <w:r>
        <w:rPr>
          <w:rFonts w:ascii="Arial" w:hAnsi="Arial" w:eastAsia="Arial"/>
          <w:b w:val="0"/>
          <w:sz w:val="21"/>
        </w:rPr>
        <w:t>:</w:t>
      </w:r>
    </w:p>
    <w:p>
      <w:pPr>
        <w:ind w:left="454"/>
        <w:jc w:val="both"/>
      </w:pPr>
    </w:p>
    <w:p>
      <w:pPr>
        <w:ind w:left="454"/>
        <w:jc w:val="both"/>
      </w:pPr>
      <w:r>
        <w:rPr>
          <w:rFonts w:ascii="Arial" w:hAnsi="Arial" w:eastAsia="Arial"/>
          <w:b w:val="0"/>
          <w:sz w:val="21"/>
        </w:rPr>
        <w:t>---</w:t>
      </w:r>
    </w:p>
    <w:p>
      <w:pPr>
        <w:ind w:left="454"/>
        <w:jc w:val="both"/>
      </w:pPr>
    </w:p>
    <w:p>
      <w:pPr>
        <w:ind w:left="454"/>
        <w:jc w:val="both"/>
      </w:pPr>
      <w:r>
        <w:rPr>
          <w:rFonts w:ascii="Arial" w:hAnsi="Arial" w:eastAsia="Arial"/>
          <w:b w:val="0"/>
          <w:sz w:val="21"/>
        </w:rPr>
        <w:t>### 1. Negative Application Reviews Analysis (2021–2023)</w:t>
      </w:r>
    </w:p>
    <w:p>
      <w:pPr>
        <w:ind w:left="454"/>
        <w:jc w:val="both"/>
      </w:pPr>
      <w:r>
        <w:rPr>
          <w:rFonts w:ascii="Arial" w:hAnsi="Arial" w:eastAsia="Arial"/>
          <w:b w:val="0"/>
          <w:sz w:val="21"/>
        </w:rPr>
        <w:t xml:space="preserve">During this period, there were </w:t>
      </w:r>
      <w:r>
        <w:rPr>
          <w:rFonts w:ascii="Arial" w:hAnsi="Arial" w:eastAsia="Arial"/>
          <w:b/>
          <w:sz w:val="21"/>
        </w:rPr>
        <w:t>5,926 negative reviews</w:t>
      </w:r>
      <w:r>
        <w:rPr>
          <w:rFonts w:ascii="Arial" w:hAnsi="Arial" w:eastAsia="Arial"/>
          <w:b w:val="0"/>
          <w:sz w:val="21"/>
        </w:rPr>
        <w:t xml:space="preserve"> (1–2 stars) out of 28,488 total reviews.</w:t>
      </w:r>
    </w:p>
    <w:p>
      <w:pPr>
        <w:ind w:left="454"/>
        <w:jc w:val="both"/>
      </w:pPr>
    </w:p>
    <w:p>
      <w:pPr>
        <w:ind w:left="454"/>
        <w:jc w:val="both"/>
      </w:pPr>
      <w:r>
        <w:rPr>
          <w:rFonts w:ascii="Arial" w:hAnsi="Arial" w:eastAsia="Arial"/>
          <w:b w:val="0"/>
          <w:sz w:val="21"/>
        </w:rPr>
        <w:t xml:space="preserve">* </w:t>
      </w:r>
      <w:r>
        <w:rPr>
          <w:rFonts w:ascii="Arial" w:hAnsi="Arial" w:eastAsia="Arial"/>
          <w:b/>
          <w:sz w:val="21"/>
        </w:rPr>
        <w:t>Most Frequent Word:</w:t>
      </w:r>
      <w:r>
        <w:rPr>
          <w:rFonts w:ascii="Arial" w:hAnsi="Arial" w:eastAsia="Arial"/>
          <w:b w:val="0"/>
          <w:sz w:val="21"/>
        </w:rPr>
        <w:t xml:space="preserve"> </w:t>
      </w:r>
      <w:r>
        <w:rPr>
          <w:rFonts w:ascii="Arial" w:hAnsi="Arial" w:eastAsia="Arial"/>
          <w:b/>
          <w:sz w:val="21"/>
        </w:rPr>
        <w:t>`citas`</w:t>
      </w:r>
      <w:r>
        <w:rPr>
          <w:rFonts w:ascii="Arial" w:hAnsi="Arial" w:eastAsia="Arial"/>
          <w:b w:val="0"/>
          <w:sz w:val="21"/>
        </w:rPr>
        <w:t xml:space="preserve"> (meaning "appointments" in Spanish) was the single most frequent word, appearing </w:t>
      </w:r>
      <w:r>
        <w:rPr>
          <w:rFonts w:ascii="Arial" w:hAnsi="Arial" w:eastAsia="Arial"/>
          <w:b/>
          <w:sz w:val="21"/>
        </w:rPr>
        <w:t>2,583 times</w:t>
      </w:r>
      <w:r>
        <w:rPr>
          <w:rFonts w:ascii="Arial" w:hAnsi="Arial" w:eastAsia="Arial"/>
          <w:b w:val="0"/>
          <w:sz w:val="21"/>
        </w:rPr>
        <w:t>.</w:t>
      </w:r>
    </w:p>
    <w:p>
      <w:pPr>
        <w:ind w:left="454"/>
        <w:jc w:val="both"/>
      </w:pPr>
      <w:r>
        <w:rPr>
          <w:rFonts w:ascii="Arial" w:hAnsi="Arial" w:eastAsia="Arial"/>
          <w:b w:val="0"/>
          <w:sz w:val="21"/>
        </w:rPr>
        <w:t xml:space="preserve">* *(Note: The singular form </w:t>
      </w:r>
      <w:r>
        <w:rPr>
          <w:rFonts w:ascii="Consolas" w:hAnsi="Consolas" w:eastAsia="Consolas"/>
          <w:sz w:val="17"/>
        </w:rPr>
        <w:t>cita</w:t>
      </w:r>
      <w:r>
        <w:rPr>
          <w:rFonts w:ascii="Arial" w:hAnsi="Arial" w:eastAsia="Arial"/>
          <w:b w:val="0"/>
          <w:sz w:val="21"/>
        </w:rPr>
        <w:t xml:space="preserve"> also appeared 1,885 times, and the word </w:t>
      </w:r>
      <w:r>
        <w:rPr>
          <w:rFonts w:ascii="Consolas" w:hAnsi="Consolas" w:eastAsia="Consolas"/>
          <w:sz w:val="17"/>
        </w:rPr>
        <w:t>nunca</w:t>
      </w:r>
      <w:r>
        <w:rPr>
          <w:rFonts w:ascii="Arial" w:hAnsi="Arial" w:eastAsia="Arial"/>
          <w:b w:val="0"/>
          <w:sz w:val="21"/>
        </w:rPr>
        <w:t xml:space="preserve"> ["never"] appeared 2,307 times).*</w:t>
      </w:r>
    </w:p>
    <w:p>
      <w:pPr>
        <w:ind w:left="454"/>
        <w:jc w:val="both"/>
      </w:pPr>
      <w:r>
        <w:rPr>
          <w:rFonts w:ascii="Arial" w:hAnsi="Arial" w:eastAsia="Arial"/>
          <w:b w:val="0"/>
          <w:sz w:val="21"/>
        </w:rPr>
        <w:t xml:space="preserve">* </w:t>
      </w:r>
      <w:r>
        <w:rPr>
          <w:rFonts w:ascii="Arial" w:hAnsi="Arial" w:eastAsia="Arial"/>
          <w:b/>
          <w:sz w:val="21"/>
        </w:rPr>
        <w:t>Relative Frequency:</w:t>
      </w:r>
      <w:r>
        <w:rPr>
          <w:rFonts w:ascii="Arial" w:hAnsi="Arial" w:eastAsia="Arial"/>
          <w:b w:val="0"/>
          <w:sz w:val="21"/>
        </w:rPr>
        <w:t xml:space="preserve"> The word </w:t>
      </w:r>
      <w:r>
        <w:rPr>
          <w:rFonts w:ascii="Consolas" w:hAnsi="Consolas" w:eastAsia="Consolas"/>
          <w:sz w:val="17"/>
        </w:rPr>
        <w:t>citas</w:t>
      </w:r>
      <w:r>
        <w:rPr>
          <w:rFonts w:ascii="Arial" w:hAnsi="Arial" w:eastAsia="Arial"/>
          <w:b w:val="0"/>
          <w:sz w:val="21"/>
        </w:rPr>
        <w:t xml:space="preserve"> appeared in </w:t>
      </w:r>
      <w:r>
        <w:rPr>
          <w:rFonts w:ascii="Arial" w:hAnsi="Arial" w:eastAsia="Arial"/>
          <w:b/>
          <w:sz w:val="21"/>
        </w:rPr>
        <w:t>43.59%</w:t>
      </w:r>
      <w:r>
        <w:rPr>
          <w:rFonts w:ascii="Arial" w:hAnsi="Arial" w:eastAsia="Arial"/>
          <w:b w:val="0"/>
          <w:sz w:val="21"/>
        </w:rPr>
        <w:t xml:space="preserve"> of all negative reviews (2,583 out of 5,926).</w:t>
      </w:r>
    </w:p>
    <w:p>
      <w:pPr>
        <w:ind w:left="454"/>
        <w:jc w:val="both"/>
      </w:pPr>
    </w:p>
    <w:p>
      <w:pPr>
        <w:ind w:left="454"/>
        <w:jc w:val="both"/>
      </w:pPr>
      <w:r>
        <w:rPr>
          <w:rFonts w:ascii="Arial" w:hAnsi="Arial" w:eastAsia="Arial"/>
          <w:b w:val="0"/>
          <w:sz w:val="21"/>
        </w:rPr>
        <w:t xml:space="preserve">This high frequency aligns with the main substantive problem category identified in the reviews: </w:t>
      </w:r>
      <w:r>
        <w:rPr>
          <w:rFonts w:ascii="Arial" w:hAnsi="Arial" w:eastAsia="Arial"/>
          <w:b/>
          <w:sz w:val="21"/>
        </w:rPr>
        <w:t>ACCESO_CITAS</w:t>
      </w:r>
      <w:r>
        <w:rPr>
          <w:rFonts w:ascii="Arial" w:hAnsi="Arial" w:eastAsia="Arial"/>
          <w:b w:val="0"/>
          <w:sz w:val="21"/>
        </w:rPr>
        <w:t xml:space="preserve"> (Appointment Access), which accounted for </w:t>
      </w:r>
      <w:r>
        <w:rPr>
          <w:rFonts w:ascii="Arial" w:hAnsi="Arial" w:eastAsia="Arial"/>
          <w:b/>
          <w:sz w:val="21"/>
        </w:rPr>
        <w:t>65.47%</w:t>
      </w:r>
      <w:r>
        <w:rPr>
          <w:rFonts w:ascii="Arial" w:hAnsi="Arial" w:eastAsia="Arial"/>
          <w:b w:val="0"/>
          <w:sz w:val="21"/>
        </w:rPr>
        <w:t xml:space="preserve"> of all classified substantive negative reviews.</w:t>
      </w:r>
    </w:p>
    <w:p>
      <w:pPr>
        <w:ind w:left="454"/>
        <w:jc w:val="both"/>
      </w:pPr>
    </w:p>
    <w:p>
      <w:pPr>
        <w:ind w:left="454"/>
        <w:jc w:val="both"/>
      </w:pPr>
      <w:r>
        <w:rPr>
          <w:rFonts w:ascii="Arial" w:hAnsi="Arial" w:eastAsia="Arial"/>
          <w:b w:val="0"/>
          <w:sz w:val="21"/>
        </w:rPr>
        <w:t>---</w:t>
      </w:r>
    </w:p>
    <w:p>
      <w:pPr>
        <w:ind w:left="454"/>
        <w:jc w:val="both"/>
      </w:pPr>
    </w:p>
    <w:p>
      <w:pPr>
        <w:ind w:left="454"/>
        <w:jc w:val="both"/>
      </w:pPr>
      <w:r>
        <w:rPr>
          <w:rFonts w:ascii="Arial" w:hAnsi="Arial" w:eastAsia="Arial"/>
          <w:b w:val="0"/>
          <w:sz w:val="21"/>
        </w:rPr>
        <w:t>### 2. World Bank Health Expenditure Indicator</w:t>
      </w:r>
    </w:p>
    <w:p>
      <w:pPr>
        <w:ind w:left="454"/>
        <w:jc w:val="both"/>
      </w:pPr>
      <w:r>
        <w:rPr>
          <w:rFonts w:ascii="Arial" w:hAnsi="Arial" w:eastAsia="Arial"/>
          <w:b w:val="0"/>
          <w:sz w:val="21"/>
        </w:rPr>
        <w:t xml:space="preserve">The World Bank tracks </w:t>
      </w:r>
      <w:r>
        <w:rPr>
          <w:rFonts w:ascii="Arial" w:hAnsi="Arial" w:eastAsia="Arial"/>
          <w:b/>
          <w:sz w:val="21"/>
        </w:rPr>
        <w:t>Domestic General Government Health Expenditure as a percentage of GDP</w:t>
      </w:r>
      <w:r>
        <w:rPr>
          <w:rFonts w:ascii="Arial" w:hAnsi="Arial" w:eastAsia="Arial"/>
          <w:b w:val="0"/>
          <w:sz w:val="21"/>
        </w:rPr>
        <w:t xml:space="preserve"> for Costa Rica:</w:t>
      </w:r>
    </w:p>
    <w:p>
      <w:pPr>
        <w:ind w:left="454"/>
        <w:jc w:val="both"/>
      </w:pPr>
      <w:r>
        <w:rPr>
          <w:rFonts w:ascii="Arial" w:hAnsi="Arial" w:eastAsia="Arial"/>
          <w:b w:val="0"/>
          <w:sz w:val="21"/>
        </w:rPr>
        <w:t xml:space="preserve">* </w:t>
      </w:r>
      <w:r>
        <w:rPr>
          <w:rFonts w:ascii="Arial" w:hAnsi="Arial" w:eastAsia="Arial"/>
          <w:b/>
          <w:sz w:val="21"/>
        </w:rPr>
        <w:t>2021:</w:t>
      </w:r>
      <w:r>
        <w:rPr>
          <w:rFonts w:ascii="Arial" w:hAnsi="Arial" w:eastAsia="Arial"/>
          <w:b w:val="0"/>
          <w:sz w:val="21"/>
        </w:rPr>
        <w:t xml:space="preserve"> 5.35% (5.3538%)</w:t>
      </w:r>
    </w:p>
    <w:p>
      <w:pPr>
        <w:ind w:left="454"/>
        <w:jc w:val="both"/>
      </w:pPr>
      <w:r>
        <w:rPr>
          <w:rFonts w:ascii="Arial" w:hAnsi="Arial" w:eastAsia="Arial"/>
          <w:b w:val="0"/>
          <w:sz w:val="21"/>
        </w:rPr>
        <w:t xml:space="preserve">* </w:t>
      </w:r>
      <w:r>
        <w:rPr>
          <w:rFonts w:ascii="Arial" w:hAnsi="Arial" w:eastAsia="Arial"/>
          <w:b/>
          <w:sz w:val="21"/>
        </w:rPr>
        <w:t>2022:</w:t>
      </w:r>
      <w:r>
        <w:rPr>
          <w:rFonts w:ascii="Arial" w:hAnsi="Arial" w:eastAsia="Arial"/>
          <w:b w:val="0"/>
          <w:sz w:val="21"/>
        </w:rPr>
        <w:t xml:space="preserve"> 4.95% (4.9536%)</w:t>
      </w:r>
    </w:p>
    <w:p>
      <w:pPr>
        <w:ind w:left="454"/>
        <w:jc w:val="both"/>
      </w:pPr>
      <w:r>
        <w:rPr>
          <w:rFonts w:ascii="Arial" w:hAnsi="Arial" w:eastAsia="Arial"/>
          <w:b w:val="0"/>
          <w:sz w:val="21"/>
        </w:rPr>
        <w:t xml:space="preserve">* </w:t>
      </w:r>
      <w:r>
        <w:rPr>
          <w:rFonts w:ascii="Arial" w:hAnsi="Arial" w:eastAsia="Arial"/>
          <w:b/>
          <w:sz w:val="21"/>
        </w:rPr>
        <w:t>2023:</w:t>
      </w:r>
      <w:r>
        <w:rPr>
          <w:rFonts w:ascii="Arial" w:hAnsi="Arial" w:eastAsia="Arial"/>
          <w:b w:val="0"/>
          <w:sz w:val="21"/>
        </w:rPr>
        <w:t xml:space="preserve"> 4.61% (4.6112%)</w:t>
      </w:r>
    </w:p>
    <w:p>
      <w:pPr>
        <w:ind w:left="454"/>
        <w:jc w:val="both"/>
      </w:pPr>
      <w:r>
        <w:rPr>
          <w:rFonts w:ascii="Arial" w:hAnsi="Arial" w:eastAsia="Arial"/>
          <w:b w:val="0"/>
          <w:sz w:val="21"/>
        </w:rPr>
        <w:t xml:space="preserve">* </w:t>
      </w:r>
      <w:r>
        <w:rPr>
          <w:rFonts w:ascii="Arial" w:hAnsi="Arial" w:eastAsia="Arial"/>
          <w:b/>
          <w:sz w:val="21"/>
        </w:rPr>
        <w:t>Trend:</w:t>
      </w:r>
      <w:r>
        <w:rPr>
          <w:rFonts w:ascii="Arial" w:hAnsi="Arial" w:eastAsia="Arial"/>
          <w:b w:val="0"/>
          <w:sz w:val="21"/>
        </w:rPr>
        <w:t xml:space="preserve"> Government health expenditure as a percentage of GDP </w:t>
      </w:r>
      <w:r>
        <w:rPr>
          <w:rFonts w:ascii="Arial" w:hAnsi="Arial" w:eastAsia="Arial"/>
          <w:b/>
          <w:sz w:val="21"/>
        </w:rPr>
        <w:t>decreased steadily</w:t>
      </w:r>
      <w:r>
        <w:rPr>
          <w:rFonts w:ascii="Arial" w:hAnsi="Arial" w:eastAsia="Arial"/>
          <w:b w:val="0"/>
          <w:sz w:val="21"/>
        </w:rPr>
        <w:t xml:space="preserve"> over this period by approximately </w:t>
      </w:r>
      <w:r>
        <w:rPr>
          <w:rFonts w:ascii="Arial" w:hAnsi="Arial" w:eastAsia="Arial"/>
          <w:b/>
          <w:sz w:val="21"/>
        </w:rPr>
        <w:t>0.74 percentage points</w:t>
      </w:r>
      <w:r>
        <w:rPr>
          <w:rFonts w:ascii="Arial" w:hAnsi="Arial" w:eastAsia="Arial"/>
          <w:b w:val="0"/>
          <w:sz w:val="21"/>
        </w:rPr>
        <w:t>.</w:t>
      </w:r>
    </w:p>
    <w:p>
      <w:pPr>
        <w:ind w:left="454"/>
        <w:jc w:val="both"/>
      </w:pPr>
    </w:p>
    <w:p>
      <w:pPr>
        <w:ind w:left="454"/>
        <w:jc w:val="both"/>
      </w:pPr>
      <w:r>
        <w:rPr>
          <w:rFonts w:ascii="Arial" w:hAnsi="Arial" w:eastAsia="Arial"/>
          <w:b w:val="0"/>
          <w:sz w:val="21"/>
        </w:rPr>
        <w:t>---</w:t>
      </w:r>
    </w:p>
    <w:p>
      <w:pPr>
        <w:ind w:left="454"/>
        <w:jc w:val="both"/>
      </w:pPr>
    </w:p>
    <w:p>
      <w:pPr>
        <w:ind w:left="454"/>
        <w:jc w:val="both"/>
      </w:pPr>
      <w:r>
        <w:rPr>
          <w:rFonts w:ascii="Arial" w:hAnsi="Arial" w:eastAsia="Arial"/>
          <w:b w:val="0"/>
          <w:sz w:val="21"/>
        </w:rPr>
        <w:t>### 3. OECD Health Expenditure Indicator</w:t>
      </w:r>
    </w:p>
    <w:p>
      <w:pPr>
        <w:ind w:left="454"/>
        <w:jc w:val="both"/>
      </w:pPr>
      <w:r>
        <w:rPr>
          <w:rFonts w:ascii="Arial" w:hAnsi="Arial" w:eastAsia="Arial"/>
          <w:b w:val="0"/>
          <w:sz w:val="21"/>
        </w:rPr>
        <w:t xml:space="preserve">The OECD tracks </w:t>
      </w:r>
      <w:r>
        <w:rPr>
          <w:rFonts w:ascii="Arial" w:hAnsi="Arial" w:eastAsia="Arial"/>
          <w:b/>
          <w:sz w:val="21"/>
        </w:rPr>
        <w:t>Total Health Expenditure as a percentage of GDP</w:t>
      </w:r>
      <w:r>
        <w:rPr>
          <w:rFonts w:ascii="Arial" w:hAnsi="Arial" w:eastAsia="Arial"/>
          <w:b w:val="0"/>
          <w:sz w:val="21"/>
        </w:rPr>
        <w:t xml:space="preserve"> for Costa Rica:</w:t>
      </w:r>
    </w:p>
    <w:p>
      <w:pPr>
        <w:ind w:left="454"/>
        <w:jc w:val="both"/>
      </w:pPr>
      <w:r>
        <w:rPr>
          <w:rFonts w:ascii="Arial" w:hAnsi="Arial" w:eastAsia="Arial"/>
          <w:b w:val="0"/>
          <w:sz w:val="21"/>
        </w:rPr>
        <w:t xml:space="preserve">* </w:t>
      </w:r>
      <w:r>
        <w:rPr>
          <w:rFonts w:ascii="Arial" w:hAnsi="Arial" w:eastAsia="Arial"/>
          <w:b/>
          <w:sz w:val="21"/>
        </w:rPr>
        <w:t>2021:</w:t>
      </w:r>
      <w:r>
        <w:rPr>
          <w:rFonts w:ascii="Arial" w:hAnsi="Arial" w:eastAsia="Arial"/>
          <w:b w:val="0"/>
          <w:sz w:val="21"/>
        </w:rPr>
        <w:t xml:space="preserve"> 7.61% (7.611%)</w:t>
      </w:r>
    </w:p>
    <w:p>
      <w:pPr>
        <w:ind w:left="454"/>
        <w:jc w:val="both"/>
      </w:pPr>
      <w:r>
        <w:rPr>
          <w:rFonts w:ascii="Arial" w:hAnsi="Arial" w:eastAsia="Arial"/>
          <w:b w:val="0"/>
          <w:sz w:val="21"/>
        </w:rPr>
        <w:t xml:space="preserve">* </w:t>
      </w:r>
      <w:r>
        <w:rPr>
          <w:rFonts w:ascii="Arial" w:hAnsi="Arial" w:eastAsia="Arial"/>
          <w:b/>
          <w:sz w:val="21"/>
        </w:rPr>
        <w:t>2022:</w:t>
      </w:r>
      <w:r>
        <w:rPr>
          <w:rFonts w:ascii="Arial" w:hAnsi="Arial" w:eastAsia="Arial"/>
          <w:b w:val="0"/>
          <w:sz w:val="21"/>
        </w:rPr>
        <w:t xml:space="preserve"> 7.18% (7.184%)</w:t>
      </w:r>
    </w:p>
    <w:p>
      <w:pPr>
        <w:ind w:left="454"/>
        <w:jc w:val="both"/>
      </w:pPr>
      <w:r>
        <w:rPr>
          <w:rFonts w:ascii="Arial" w:hAnsi="Arial" w:eastAsia="Arial"/>
          <w:b w:val="0"/>
          <w:sz w:val="21"/>
        </w:rPr>
        <w:t xml:space="preserve">* </w:t>
      </w:r>
      <w:r>
        <w:rPr>
          <w:rFonts w:ascii="Arial" w:hAnsi="Arial" w:eastAsia="Arial"/>
          <w:b/>
          <w:sz w:val="21"/>
        </w:rPr>
        <w:t>2023:</w:t>
      </w:r>
      <w:r>
        <w:rPr>
          <w:rFonts w:ascii="Arial" w:hAnsi="Arial" w:eastAsia="Arial"/>
          <w:b w:val="0"/>
          <w:sz w:val="21"/>
        </w:rPr>
        <w:t xml:space="preserve"> 6.87% (6.866%)</w:t>
      </w:r>
    </w:p>
    <w:p>
      <w:pPr>
        <w:ind w:left="454"/>
        <w:jc w:val="both"/>
      </w:pPr>
      <w:r>
        <w:rPr>
          <w:rFonts w:ascii="Arial" w:hAnsi="Arial" w:eastAsia="Arial"/>
          <w:b w:val="0"/>
          <w:sz w:val="21"/>
        </w:rPr>
        <w:t xml:space="preserve">* </w:t>
      </w:r>
      <w:r>
        <w:rPr>
          <w:rFonts w:ascii="Arial" w:hAnsi="Arial" w:eastAsia="Arial"/>
          <w:b/>
          <w:sz w:val="21"/>
        </w:rPr>
        <w:t>Trend:</w:t>
      </w:r>
      <w:r>
        <w:rPr>
          <w:rFonts w:ascii="Arial" w:hAnsi="Arial" w:eastAsia="Arial"/>
          <w:b w:val="0"/>
          <w:sz w:val="21"/>
        </w:rPr>
        <w:t xml:space="preserve"> Total health expenditure as a percentage of GDP also </w:t>
      </w:r>
      <w:r>
        <w:rPr>
          <w:rFonts w:ascii="Arial" w:hAnsi="Arial" w:eastAsia="Arial"/>
          <w:b/>
          <w:sz w:val="21"/>
        </w:rPr>
        <w:t>decreased steadily</w:t>
      </w:r>
      <w:r>
        <w:rPr>
          <w:rFonts w:ascii="Arial" w:hAnsi="Arial" w:eastAsia="Arial"/>
          <w:b w:val="0"/>
          <w:sz w:val="21"/>
        </w:rPr>
        <w:t xml:space="preserve"> over this period by approximately </w:t>
      </w:r>
      <w:r>
        <w:rPr>
          <w:rFonts w:ascii="Arial" w:hAnsi="Arial" w:eastAsia="Arial"/>
          <w:b/>
          <w:sz w:val="21"/>
        </w:rPr>
        <w:t>0.74 percentage points</w:t>
      </w:r>
      <w:r>
        <w:rPr>
          <w:rFonts w:ascii="Arial" w:hAnsi="Arial" w:eastAsia="Arial"/>
          <w:b w:val="0"/>
          <w:sz w:val="21"/>
        </w:rPr>
        <w:t>.</w:t>
      </w:r>
    </w:p>
    <w:p>
      <w:pPr>
        <w:ind w:left="454"/>
        <w:jc w:val="both"/>
      </w:pPr>
    </w:p>
    <w:p>
      <w:pPr>
        <w:ind w:left="454"/>
        <w:jc w:val="both"/>
      </w:pPr>
      <w:r>
        <w:rPr>
          <w:rFonts w:ascii="Arial" w:hAnsi="Arial" w:eastAsia="Arial"/>
          <w:b w:val="0"/>
          <w:sz w:val="21"/>
        </w:rPr>
        <w:t>---</w:t>
      </w:r>
    </w:p>
    <w:p>
      <w:pPr>
        <w:ind w:left="454"/>
        <w:jc w:val="both"/>
      </w:pPr>
    </w:p>
    <w:p>
      <w:pPr>
        <w:ind w:left="454"/>
        <w:jc w:val="both"/>
      </w:pPr>
      <w:r>
        <w:rPr>
          <w:rFonts w:ascii="Arial" w:hAnsi="Arial" w:eastAsia="Arial"/>
          <w:b w:val="0"/>
          <w:sz w:val="21"/>
        </w:rPr>
        <w:t>### Methodological Note on Indicator Differences</w:t>
      </w:r>
    </w:p>
    <w:p>
      <w:pPr>
        <w:ind w:left="454"/>
        <w:jc w:val="both"/>
      </w:pPr>
      <w:r>
        <w:rPr>
          <w:rFonts w:ascii="Arial" w:hAnsi="Arial" w:eastAsia="Arial"/>
          <w:b w:val="0"/>
          <w:sz w:val="21"/>
        </w:rPr>
        <w:t>It is expected that the World Bank and OECD report different percentages for health expenditure:</w:t>
      </w:r>
    </w:p>
    <w:p>
      <w:pPr>
        <w:ind w:left="454"/>
        <w:jc w:val="both"/>
      </w:pPr>
      <w:r>
        <w:rPr>
          <w:rFonts w:ascii="Arial" w:hAnsi="Arial" w:eastAsia="Arial"/>
          <w:b w:val="0"/>
          <w:sz w:val="21"/>
        </w:rPr>
        <w:t xml:space="preserve">1. </w:t>
      </w:r>
      <w:r>
        <w:rPr>
          <w:rFonts w:ascii="Arial" w:hAnsi="Arial" w:eastAsia="Arial"/>
          <w:b/>
          <w:sz w:val="21"/>
        </w:rPr>
        <w:t>Scope of Indicators:</w:t>
      </w:r>
      <w:r>
        <w:rPr>
          <w:rFonts w:ascii="Arial" w:hAnsi="Arial" w:eastAsia="Arial"/>
          <w:b w:val="0"/>
          <w:sz w:val="21"/>
        </w:rPr>
        <w:t xml:space="preserve"> The World Bank indicator specifically measures *domestic general government* health expenditure, whereas the OECD indicator measures *total* health expenditure (which includes private, out-of-pocket, and external funding alongside public spending).</w:t>
      </w:r>
    </w:p>
    <w:p>
      <w:pPr>
        <w:ind w:left="454"/>
        <w:jc w:val="both"/>
      </w:pPr>
      <w:r>
        <w:rPr>
          <w:rFonts w:ascii="Arial" w:hAnsi="Arial" w:eastAsia="Arial"/>
          <w:b w:val="0"/>
          <w:sz w:val="21"/>
        </w:rPr>
        <w:t xml:space="preserve">2. </w:t>
      </w:r>
      <w:r>
        <w:rPr>
          <w:rFonts w:ascii="Arial" w:hAnsi="Arial" w:eastAsia="Arial"/>
          <w:b/>
          <w:sz w:val="21"/>
        </w:rPr>
        <w:t>Data Collection Methodologies:</w:t>
      </w:r>
      <w:r>
        <w:rPr>
          <w:rFonts w:ascii="Arial" w:hAnsi="Arial" w:eastAsia="Arial"/>
          <w:b w:val="0"/>
          <w:sz w:val="21"/>
        </w:rPr>
        <w:t xml:space="preserve"> Both institutions utilize different data collection and estimation frameworks.</w:t>
      </w:r>
    </w:p>
    <w:p>
      <w:pPr>
        <w:ind w:left="454"/>
        <w:jc w:val="both"/>
      </w:pPr>
    </w:p>
    <w:p>
      <w:pPr>
        <w:ind w:left="454"/>
        <w:jc w:val="both"/>
      </w:pPr>
      <w:r>
        <w:rPr>
          <w:rFonts w:ascii="Arial" w:hAnsi="Arial" w:eastAsia="Arial"/>
          <w:b w:val="0"/>
          <w:sz w:val="21"/>
        </w:rPr>
        <w:t xml:space="preserve">Despite these differences in absolute values, </w:t>
      </w:r>
      <w:r>
        <w:rPr>
          <w:rFonts w:ascii="Arial" w:hAnsi="Arial" w:eastAsia="Arial"/>
          <w:b/>
          <w:sz w:val="21"/>
        </w:rPr>
        <w:t>both datasets show an identical downward trend</w:t>
      </w:r>
      <w:r>
        <w:rPr>
          <w:rFonts w:ascii="Arial" w:hAnsi="Arial" w:eastAsia="Arial"/>
          <w:b w:val="0"/>
          <w:sz w:val="21"/>
        </w:rPr>
        <w:t xml:space="preserve">, with health spending relative to GDP contracting by approximately </w:t>
      </w:r>
      <w:r>
        <w:rPr>
          <w:rFonts w:ascii="Arial" w:hAnsi="Arial" w:eastAsia="Arial"/>
          <w:b/>
          <w:sz w:val="21"/>
        </w:rPr>
        <w:t>0.74 percentage points</w:t>
      </w:r>
      <w:r>
        <w:rPr>
          <w:rFonts w:ascii="Arial" w:hAnsi="Arial" w:eastAsia="Arial"/>
          <w:b w:val="0"/>
          <w:sz w:val="21"/>
        </w:rPr>
        <w:t xml:space="preserve"> between 2021 and 2023.</w:t>
      </w:r>
    </w:p>
    <w:p>
      <w:pPr>
        <w:jc w:val="center"/>
      </w:pPr>
      <w:r>
        <w:t>____________________________________________________________</w:t>
      </w:r>
    </w:p>
    <w:p>
      <w:pPr>
        <w:keepNext/>
        <w:spacing w:before="240"/>
        <w:jc w:val="left"/>
      </w:pPr>
      <w:r>
        <w:rPr>
          <w:rFonts w:ascii="Arial" w:hAnsi="Arial" w:eastAsia="Arial"/>
          <w:b/>
          <w:color w:val="1B4F72"/>
          <w:sz w:val="26"/>
        </w:rPr>
        <w:t>R18</w:t>
      </w:r>
    </w:p>
    <w:p>
      <w:pPr>
        <w:spacing w:after="120"/>
        <w:jc w:val="both"/>
      </w:pPr>
      <w:r>
        <w:rPr>
          <w:rFonts w:ascii="Arial" w:hAnsi="Arial" w:eastAsia="Arial"/>
          <w:b/>
          <w:sz w:val="22"/>
        </w:rPr>
        <w:t>Pregunta:</w:t>
      </w:r>
      <w:r>
        <w:rPr>
          <w:rFonts w:ascii="Arial" w:hAnsi="Arial" w:eastAsia="Arial"/>
          <w:b w:val="0"/>
          <w:sz w:val="22"/>
        </w:rPr>
        <w:t xml:space="preserve"> What was the main problem reported by users of the application during 2023, and how does it relate to the trend in health expenditure per capita for the same period?</w:t>
      </w:r>
    </w:p>
    <w:p>
      <w:pPr>
        <w:spacing w:after="120"/>
        <w:jc w:val="both"/>
      </w:pPr>
      <w:r>
        <w:rPr>
          <w:rFonts w:ascii="Arial" w:hAnsi="Arial" w:eastAsia="Arial"/>
          <w:b/>
          <w:sz w:val="22"/>
        </w:rPr>
        <w:t>Llamadas a herramientas (en el orden emitido):</w:t>
      </w:r>
    </w:p>
    <w:p>
      <w:pPr>
        <w:ind w:left="454" w:hanging="283"/>
        <w:jc w:val="left"/>
      </w:pPr>
      <w:r>
        <w:rPr>
          <w:rFonts w:ascii="Arial" w:hAnsi="Arial" w:eastAsia="Arial"/>
          <w:b w:val="0"/>
          <w:sz w:val="22"/>
        </w:rPr>
        <w:t xml:space="preserve">1. </w:t>
      </w:r>
      <w:r>
        <w:rPr>
          <w:rFonts w:ascii="Consolas" w:hAnsi="Consolas" w:eastAsia="Consolas"/>
          <w:sz w:val="18"/>
        </w:rPr>
        <w:t>query_local_reviews</w:t>
      </w:r>
      <w:r>
        <w:rPr>
          <w:rFonts w:ascii="Arial" w:hAnsi="Arial" w:eastAsia="Arial"/>
          <w:b w:val="0"/>
          <w:sz w:val="22"/>
        </w:rPr>
        <w:t xml:space="preserve"> — argumentos: </w:t>
      </w:r>
      <w:r>
        <w:rPr>
          <w:rFonts w:ascii="Consolas" w:hAnsi="Consolas" w:eastAsia="Consolas"/>
          <w:sz w:val="18"/>
        </w:rPr>
        <w:t>{"start_date": "2023-01-01", "end_date": "2023-12-31"}</w:t>
      </w:r>
    </w:p>
    <w:p>
      <w:pPr>
        <w:spacing w:after="120"/>
        <w:jc w:val="both"/>
      </w:pPr>
      <w:r>
        <w:rPr>
          <w:rFonts w:ascii="Arial" w:hAnsi="Arial" w:eastAsia="Arial"/>
          <w:b w:val="0"/>
          <w:sz w:val="22"/>
        </w:rPr>
        <w:t>Resultado: OK</w:t>
      </w:r>
    </w:p>
    <w:p>
      <w:pPr>
        <w:ind w:left="454"/>
        <w:jc w:val="left"/>
      </w:pPr>
      <w:r>
        <w:rPr>
          <w:rFonts w:ascii="Consolas" w:hAnsi="Consolas" w:eastAsia="Consolas"/>
          <w:sz w:val="18"/>
        </w:rPr>
        <w:t>{"source": "local_reviews", "date_range": {"start": "2023-01-01", "end": "2023-12-31"}, "total_reviews": 11428, "valid_reviews_for_analysis": 11428, "sentiment_distribution": {"POS": 7287, "NEG": 3177, "NEU": 964}, "top_negative_keywords": [["citas", 1411], ["nunca", 1283], ["cita", 1064], ["sacar", 1056], ["mala", 386], ["puede", 356], ["sirve", 246], ["uno", 243], ["disponibles", 230], ["nada", 229], ["pésima", 208], ["puedo", 182], ["imposible", 165], ["campo", 152], ["ver", 149]], "sample_negative_reviews": ["Es demasiado mala, casi nunca funciona bien, si trato de reestablecer mi contraseña, me envía lun link a mi correo registrado, sigo el link, e introduzca mi nueva contraseña, pero me da un fallo. Trato de reestablecer de nuevo, pero ya no me genera un nuevo correo de recuperación de contraseña. Es una de las peores aplicaciones que existen.", "Me cae mal esta aplicación porque nunca hay cita cuando en realidad lo necesita.", "Rara vez se encuentran citas, y no actualizan la información", "La verdad solo porque duré días sin conectarme, intento entrar y me pide iniciar sesión, la cual olvidé mi contraseña e intento recuperar y me dicen que el código es incorrecto. La verdad no veo seriedad en eso.", "Regular"], "negative_review_count": 3177, "topic_coverage": {"with_topic_assignment": 3177, "missing_topic_assignment_count": 0, "assigned_non_noise_count": 2116, "topic_noise_count": 1061, "excluded_assigned_review_count": 293, "substantive_problem_count": 1823, "substantive_coverage_pct": 57.3812}, "problem_categories": [{"category": "ACCESO_CITAS", "count": 1248, "pct_of_substantive_problems": 68.4586, "pct_of_negative_reviews": 39.2823}, {"category": "INFORMACION_CLINICA", "count": 235, "pct_of_substantive_problems": 12.8908, "pct_of_negative_reviews": 7.3969}, {"category": "RENDIMIENTO_APP", "count": 179, "pct_of_substantive_problems": 9.819, "pct_of_negative_reviews": 5.6342}, {"category": "AUTENTICACION_ACCESO", "count": 111, "pct_of_substantive_problems": 6.0889, "pct_of_negative_reviews": 3.4939}, {"category": "CALIDAD_ACTUALIZACION_INFO", "count": 25, "pct_of_substantive_problems": 1.3714, "pct_of_negative_reviews": 0.7869}, {"category": "REGISTRO_CUENTA", "count": 16, "pct_of_substantive_problems": 0.8777, "pct_of_negative_reviews": 0.5036}, {"category": "INFORMACION_ADMINISTRATIVA", "count": 9, "pct_of_substantive_problems": 0.4937, "pct_of_negative_reviews": 0.2833}], "main_problem": {"category": "ACCESO_CITAS", "count": 1248, "pct_of_substantive_problems": 68.4586, "pct_of_negative_reviews": 39.2823}, "invalid_rating_count": 0, "invalid_rating_pct": 0.0}</w:t>
      </w:r>
    </w:p>
    <w:p>
      <w:pPr>
        <w:ind w:left="454" w:hanging="283"/>
        <w:jc w:val="left"/>
      </w:pPr>
      <w:r>
        <w:rPr>
          <w:rFonts w:ascii="Arial" w:hAnsi="Arial" w:eastAsia="Arial"/>
          <w:b w:val="0"/>
          <w:sz w:val="22"/>
        </w:rPr>
        <w:t xml:space="preserve">2. </w:t>
      </w:r>
      <w:r>
        <w:rPr>
          <w:rFonts w:ascii="Consolas" w:hAnsi="Consolas" w:eastAsia="Consolas"/>
          <w:sz w:val="18"/>
        </w:rPr>
        <w:t>get_worldbank_indicator</w:t>
      </w:r>
      <w:r>
        <w:rPr>
          <w:rFonts w:ascii="Arial" w:hAnsi="Arial" w:eastAsia="Arial"/>
          <w:b w:val="0"/>
          <w:sz w:val="22"/>
        </w:rPr>
        <w:t xml:space="preserve"> — argumentos: </w:t>
      </w:r>
      <w:r>
        <w:rPr>
          <w:rFonts w:ascii="Consolas" w:hAnsi="Consolas" w:eastAsia="Consolas"/>
          <w:sz w:val="18"/>
        </w:rPr>
        <w:t>{"country_iso3": "USA", "indicator": "current_health_expenditure_per_capita_usd", "start_year": 2023, "end_year": 2023}</w:t>
      </w:r>
    </w:p>
    <w:p>
      <w:pPr>
        <w:spacing w:after="120"/>
        <w:jc w:val="both"/>
      </w:pPr>
      <w:r>
        <w:rPr>
          <w:rFonts w:ascii="Arial" w:hAnsi="Arial" w:eastAsia="Arial"/>
          <w:b w:val="0"/>
          <w:sz w:val="22"/>
        </w:rPr>
        <w:t>Resultado: FALLÓ — Error executing tool get_worldbank_indicator: Network failure while querying the World Bank API: HTTPSConnectionPool(host='api.worldbank.org', port=443): Read timed out. (read timeout=15)</w:t>
      </w:r>
    </w:p>
    <w:p>
      <w:pPr>
        <w:spacing w:after="120"/>
        <w:jc w:val="both"/>
      </w:pPr>
      <w:r>
        <w:rPr>
          <w:rFonts w:ascii="Arial" w:hAnsi="Arial" w:eastAsia="Arial"/>
          <w:b/>
          <w:sz w:val="22"/>
        </w:rPr>
        <w:t>Respuesta final del sistema:</w:t>
      </w:r>
    </w:p>
    <w:p>
      <w:pPr>
        <w:ind w:left="454"/>
        <w:jc w:val="both"/>
      </w:pPr>
      <w:r>
        <w:rPr>
          <w:rFonts w:ascii="Arial" w:hAnsi="Arial" w:eastAsia="Arial"/>
          <w:b w:val="0"/>
          <w:sz w:val="21"/>
        </w:rPr>
        <w:t>During 2023, the main problem reported by users of the digital health application was related to "ACCESO_CITAS" (appointment access), which accounted for 68.46% of substantive problem reports and 39.28% of all negative reviews. Users frequently mentioned issues with booking appointments, as indicated by keywords like "citas" (appointments) and "nunca" (never), suggesting difficulties in finding available slots or the application not functioning as expected.</w:t>
      </w:r>
    </w:p>
    <w:p>
      <w:pPr>
        <w:ind w:left="454"/>
        <w:jc w:val="both"/>
      </w:pPr>
    </w:p>
    <w:p>
      <w:pPr>
        <w:ind w:left="454"/>
        <w:jc w:val="both"/>
      </w:pPr>
      <w:r>
        <w:rPr>
          <w:rFonts w:ascii="Arial" w:hAnsi="Arial" w:eastAsia="Arial"/>
          <w:b w:val="0"/>
          <w:sz w:val="21"/>
        </w:rPr>
        <w:t>Unfortunately, I encountered a network issue while attempting to retrieve the health expenditure per capita data from the World Bank for the same period. Therefore, I cannot provide information on how this problem relates to the trend in health expenditure per capita for 2023. If you have access to other sources or can try again later, you might be able to obtain this data.</w:t>
      </w:r>
    </w:p>
    <w:p>
      <w:pPr>
        <w:jc w:val="center"/>
      </w:pPr>
      <w:r>
        <w:t>____________________________________________________________</w:t>
      </w:r>
    </w:p>
    <w:p>
      <w:pPr>
        <w:keepNext/>
        <w:spacing w:before="240"/>
        <w:jc w:val="left"/>
      </w:pPr>
      <w:r>
        <w:rPr>
          <w:rFonts w:ascii="Arial" w:hAnsi="Arial" w:eastAsia="Arial"/>
          <w:b/>
          <w:color w:val="1B4F72"/>
          <w:sz w:val="26"/>
        </w:rPr>
        <w:t>R19</w:t>
      </w:r>
    </w:p>
    <w:p>
      <w:pPr>
        <w:spacing w:after="120"/>
        <w:jc w:val="both"/>
      </w:pPr>
      <w:r>
        <w:rPr>
          <w:rFonts w:ascii="Arial" w:hAnsi="Arial" w:eastAsia="Arial"/>
          <w:b/>
          <w:sz w:val="22"/>
        </w:rPr>
        <w:t>Pregunta:</w:t>
      </w:r>
      <w:r>
        <w:rPr>
          <w:rFonts w:ascii="Arial" w:hAnsi="Arial" w:eastAsia="Arial"/>
          <w:b w:val="0"/>
          <w:sz w:val="22"/>
        </w:rPr>
        <w:t xml:space="preserve"> What was the main problem reported by users of the application during 2021–2023, and how does it relate to the OECD trend in Costa Rica's health expenditure as a percentage of GDP over the same period?</w:t>
      </w:r>
    </w:p>
    <w:p>
      <w:pPr>
        <w:spacing w:after="120"/>
        <w:jc w:val="both"/>
      </w:pPr>
      <w:r>
        <w:rPr>
          <w:rFonts w:ascii="Arial" w:hAnsi="Arial" w:eastAsia="Arial"/>
          <w:b/>
          <w:sz w:val="22"/>
        </w:rPr>
        <w:t>Llamadas a herramientas (en el orden emitido):</w:t>
      </w:r>
    </w:p>
    <w:p>
      <w:pPr>
        <w:ind w:left="454" w:hanging="283"/>
        <w:jc w:val="left"/>
      </w:pPr>
      <w:r>
        <w:rPr>
          <w:rFonts w:ascii="Arial" w:hAnsi="Arial" w:eastAsia="Arial"/>
          <w:b w:val="0"/>
          <w:sz w:val="22"/>
        </w:rPr>
        <w:t xml:space="preserve">1. </w:t>
      </w:r>
      <w:r>
        <w:rPr>
          <w:rFonts w:ascii="Consolas" w:hAnsi="Consolas" w:eastAsia="Consolas"/>
          <w:sz w:val="18"/>
        </w:rPr>
        <w:t>query_local_reviews</w:t>
      </w:r>
      <w:r>
        <w:rPr>
          <w:rFonts w:ascii="Arial" w:hAnsi="Arial" w:eastAsia="Arial"/>
          <w:b w:val="0"/>
          <w:sz w:val="22"/>
        </w:rPr>
        <w:t xml:space="preserve"> — argumentos: </w:t>
      </w:r>
      <w:r>
        <w:rPr>
          <w:rFonts w:ascii="Consolas" w:hAnsi="Consolas" w:eastAsia="Consolas"/>
          <w:sz w:val="18"/>
        </w:rPr>
        <w:t>{"end_date": "2023-12-31", "start_date": "2021-01-01"}</w:t>
      </w:r>
    </w:p>
    <w:p>
      <w:pPr>
        <w:spacing w:after="120"/>
        <w:jc w:val="both"/>
      </w:pPr>
      <w:r>
        <w:rPr>
          <w:rFonts w:ascii="Arial" w:hAnsi="Arial" w:eastAsia="Arial"/>
          <w:b w:val="0"/>
          <w:sz w:val="22"/>
        </w:rPr>
        <w:t>Resultado: OK</w:t>
      </w:r>
    </w:p>
    <w:p>
      <w:pPr>
        <w:ind w:left="454"/>
        <w:jc w:val="left"/>
      </w:pPr>
      <w:r>
        <w:rPr>
          <w:rFonts w:ascii="Consolas" w:hAnsi="Consolas" w:eastAsia="Consolas"/>
          <w:sz w:val="18"/>
        </w:rPr>
        <w:t>{"source": "local_reviews", "date_range": {"start": "2021-01-01", "end": "2023-12-31"}, "total_reviews": 28488, "valid_reviews_for_analysis": 28488, "sentiment_distribution": {"POS": 20468, "NEG": 5926, "NEU": 2094}, "top_negative_keywords": [["citas", 2583], ["nunca", 2307], ["sacar", 1892], ["cita", 1885], ["mala", 662], ["puede", 623], ["sirve", 528], ["nada", 478], ["uno", 450], ["disponibles", 449], ["pésima", 362], ["puedo", 358], ["dice", 301], ["información", 300], ["solo", 289]], "sample_negative_reviews": ["Es demasiado mala, casi nunca funciona bien, si trato de reestablecer mi contraseña, me envía lun link a mi correo registrado, sigo el link, e introduzca mi nueva contraseña, pero me da un fallo. Trato de reestablecer de nuevo, pero ya no me genera un nuevo correo de recuperación de contraseña. Es una de las peores aplicaciones que existen.", "Me cae mal esta aplicación porque nunca hay cita cuando en realidad lo necesita.", "Rara vez se encuentran citas, y no actualizan la información", "La verdad solo porque duré días sin conectarme, intento entrar y me pide iniciar sesión, la cual olvidé mi contraseña e intento recuperar y me dicen que el código es incorrecto. La verdad no veo seriedad en eso.", "Regular"], "negative_review_count": 5926, "topic_coverage": {"with_topic_assignment": 5926, "missing_topic_assignment_count": 0, "assigned_non_noise_count": 3971, "topic_noise_count": 1955, "excluded_assigned_review_count": 496, "substantive_problem_count": 3475, "substantive_coverage_pct": 58.6399}, "problem_categories": [{"category": "ACCESO_CITAS", "count": 2275, "pct_of_substantive_problems": 65.4676, "pct_of_negative_reviews": 38.3901}, {"category": "INFORMACION_CLINICA", "count": 464, "pct_of_substantive_problems": 13.3525, "pct_of_negative_reviews": 7.8299}, {"category": "RENDIMIENTO_APP", "count": 301, "pct_of_substantive_problems": 8.6619, "pct_of_negative_reviews": 5.0793}, {"category": "AUTENTICACION_ACCESO", "count": 264, "pct_of_substantive_problems": 7.5971, "pct_of_negative_reviews": 4.4549}, {"category": "CALIDAD_ACTUALIZACION_INFO", "count": 79, "pct_of_substantive_problems": 2.2734, "pct_of_negative_reviews": 1.3331}, {"category": "INFORMACION_ADMINISTRATIVA", "count": 52, "pct_of_substantive_problems": 1.4964, "pct_of_negative_reviews": 0.8775}, {"category": "REGISTRO_CUENTA", "count": 40, "pct_of_substantive_problems": 1.1511, "pct_of_negative_reviews": 0.675}], "main_problem": {"category": "ACCESO_CITAS", "count": 2275, "pct_of_substantive_problems": 65.4676, "pct_of_negative_reviews": 38.3901}, "invalid_rating_count": 0, "invalid_rating_pct": 0.0}</w:t>
      </w:r>
    </w:p>
    <w:p>
      <w:pPr>
        <w:ind w:left="454" w:hanging="283"/>
        <w:jc w:val="left"/>
      </w:pPr>
      <w:r>
        <w:rPr>
          <w:rFonts w:ascii="Arial" w:hAnsi="Arial" w:eastAsia="Arial"/>
          <w:b w:val="0"/>
          <w:sz w:val="22"/>
        </w:rPr>
        <w:t xml:space="preserve">2. </w:t>
      </w:r>
      <w:r>
        <w:rPr>
          <w:rFonts w:ascii="Consolas" w:hAnsi="Consolas" w:eastAsia="Consolas"/>
          <w:sz w:val="18"/>
        </w:rPr>
        <w:t>get_oecd_indicator</w:t>
      </w:r>
      <w:r>
        <w:rPr>
          <w:rFonts w:ascii="Arial" w:hAnsi="Arial" w:eastAsia="Arial"/>
          <w:b w:val="0"/>
          <w:sz w:val="22"/>
        </w:rPr>
        <w:t xml:space="preserve"> — argumentos: </w:t>
      </w:r>
      <w:r>
        <w:rPr>
          <w:rFonts w:ascii="Consolas" w:hAnsi="Consolas" w:eastAsia="Consolas"/>
          <w:sz w:val="18"/>
        </w:rPr>
        <w:t>{"indicator": "health_expenditure_pct_gdp", "country_iso3": "CRI", "start_period": "2021"}</w:t>
      </w:r>
    </w:p>
    <w:p>
      <w:pPr>
        <w:spacing w:after="120"/>
        <w:jc w:val="both"/>
      </w:pPr>
      <w:r>
        <w:rPr>
          <w:rFonts w:ascii="Arial" w:hAnsi="Arial" w:eastAsia="Arial"/>
          <w:b w:val="0"/>
          <w:sz w:val="22"/>
        </w:rPr>
        <w:t>Resultado: OK</w:t>
      </w:r>
    </w:p>
    <w:p>
      <w:pPr>
        <w:ind w:left="454"/>
        <w:jc w:val="left"/>
      </w:pPr>
      <w:r>
        <w:rPr>
          <w:rFonts w:ascii="Consolas" w:hAnsi="Consolas" w:eastAsia="Consolas"/>
          <w:sz w:val="18"/>
        </w:rPr>
        <w:t>{"source": "OECD", "dataflow": "OECD.ELS.HD,DSD_SHA@DF_SHA,", "key": "CRI.A.EXP_HEALTH.PT_B1GQ._T._Z._T._T._T._Z._Z._Z", "country_iso3": "CRI", "observations": [{"year": "2021", "value": 7.611}, {"year": "2022", "value": 7.184}, {"year": "2023", "value": 6.866}, {"year": "2024", "value": 6.91}, {"year": "2025", "value": 6.776}], "query_url": "https://sdmx.oecd.org/public/rest/data/OECD.ELS.HD,DSD_SHA@DF_SHA,/CRI.A.EXP_HEALTH.PT_B1GQ._T._Z._T._T._T._Z._Z._Z?startPeriod=2021", "response_meta": {"schema": "https://raw.githubusercontent.com/sdmx-twg/sdmx-json/master/data-message/tools/schemas/2.0.0/sdmx-json-data-schema.json", "id": "IREF001005", "prepared": "2026-09-07T02:46:32Z", "test": false, "contentLanguages": ["en", "en-US"], "sender": {"id": "Disseminate_Final_DMZ", "name": "unknown", "names": {"en-US": "unknown"}}}}</w:t>
      </w:r>
    </w:p>
    <w:p>
      <w:pPr>
        <w:ind w:left="454" w:hanging="283"/>
        <w:jc w:val="left"/>
      </w:pPr>
      <w:r>
        <w:rPr>
          <w:rFonts w:ascii="Arial" w:hAnsi="Arial" w:eastAsia="Arial"/>
          <w:b w:val="0"/>
          <w:sz w:val="22"/>
        </w:rPr>
        <w:t xml:space="preserve">3. </w:t>
      </w:r>
      <w:r>
        <w:rPr>
          <w:rFonts w:ascii="Consolas" w:hAnsi="Consolas" w:eastAsia="Consolas"/>
          <w:sz w:val="18"/>
        </w:rPr>
        <w:t>get_worldbank_indicator</w:t>
      </w:r>
      <w:r>
        <w:rPr>
          <w:rFonts w:ascii="Arial" w:hAnsi="Arial" w:eastAsia="Arial"/>
          <w:b w:val="0"/>
          <w:sz w:val="22"/>
        </w:rPr>
        <w:t xml:space="preserve"> — argumentos: </w:t>
      </w:r>
      <w:r>
        <w:rPr>
          <w:rFonts w:ascii="Consolas" w:hAnsi="Consolas" w:eastAsia="Consolas"/>
          <w:sz w:val="18"/>
        </w:rPr>
        <w:t>{"indicator": "current_health_expenditure_pct_gdp", "start_year": 2021, "country_iso3": "CRI", "end_year": 2023}</w:t>
      </w:r>
    </w:p>
    <w:p>
      <w:pPr>
        <w:spacing w:after="120"/>
        <w:jc w:val="both"/>
      </w:pPr>
      <w:r>
        <w:rPr>
          <w:rFonts w:ascii="Arial" w:hAnsi="Arial" w:eastAsia="Arial"/>
          <w:b w:val="0"/>
          <w:sz w:val="22"/>
        </w:rPr>
        <w:t>Resultado: FALLÓ — Error executing tool get_worldbank_indicator: Network failure while querying the World Bank API: HTTPSConnectionPool(host='api.worldbank.org', port=443): Read timed out. (read timeout=15)</w:t>
      </w:r>
    </w:p>
    <w:p>
      <w:pPr>
        <w:spacing w:after="120"/>
        <w:jc w:val="both"/>
      </w:pPr>
      <w:r>
        <w:rPr>
          <w:rFonts w:ascii="Arial" w:hAnsi="Arial" w:eastAsia="Arial"/>
          <w:b/>
          <w:sz w:val="22"/>
        </w:rPr>
        <w:t>Respuesta final del sistema:</w:t>
      </w:r>
    </w:p>
    <w:p>
      <w:pPr>
        <w:ind w:left="454"/>
        <w:jc w:val="both"/>
      </w:pPr>
      <w:r>
        <w:rPr>
          <w:rFonts w:ascii="Arial" w:hAnsi="Arial" w:eastAsia="Arial"/>
          <w:b w:val="0"/>
          <w:sz w:val="21"/>
        </w:rPr>
        <w:t>Based on the analysis of the local user reviews and the institutional data from the OECD, here is how the main problem reported by users of the digital health application relates to Costa Rica's health expenditure trend between 2021 and 2023:</w:t>
      </w:r>
    </w:p>
    <w:p>
      <w:pPr>
        <w:ind w:left="454"/>
        <w:jc w:val="both"/>
      </w:pPr>
    </w:p>
    <w:p>
      <w:pPr>
        <w:ind w:left="454"/>
        <w:jc w:val="both"/>
      </w:pPr>
      <w:r>
        <w:rPr>
          <w:rFonts w:ascii="Arial" w:hAnsi="Arial" w:eastAsia="Arial"/>
          <w:b w:val="0"/>
          <w:sz w:val="21"/>
        </w:rPr>
        <w:t>### 1. The Main Problem Reported by Users (2021–2023)</w:t>
      </w:r>
    </w:p>
    <w:p>
      <w:pPr>
        <w:ind w:left="454"/>
        <w:jc w:val="both"/>
      </w:pPr>
      <w:r>
        <w:rPr>
          <w:rFonts w:ascii="Arial" w:hAnsi="Arial" w:eastAsia="Arial"/>
          <w:b w:val="0"/>
          <w:sz w:val="21"/>
        </w:rPr>
        <w:t xml:space="preserve">During the 2021–2023 period, the local review corpus recorded a total of </w:t>
      </w:r>
      <w:r>
        <w:rPr>
          <w:rFonts w:ascii="Arial" w:hAnsi="Arial" w:eastAsia="Arial"/>
          <w:b/>
          <w:sz w:val="21"/>
        </w:rPr>
        <w:t>28,488 reviews</w:t>
      </w:r>
      <w:r>
        <w:rPr>
          <w:rFonts w:ascii="Arial" w:hAnsi="Arial" w:eastAsia="Arial"/>
          <w:b w:val="0"/>
          <w:sz w:val="21"/>
        </w:rPr>
        <w:t xml:space="preserve">, of which </w:t>
      </w:r>
      <w:r>
        <w:rPr>
          <w:rFonts w:ascii="Arial" w:hAnsi="Arial" w:eastAsia="Arial"/>
          <w:b/>
          <w:sz w:val="21"/>
        </w:rPr>
        <w:t>5,926 were negative</w:t>
      </w:r>
      <w:r>
        <w:rPr>
          <w:rFonts w:ascii="Arial" w:hAnsi="Arial" w:eastAsia="Arial"/>
          <w:b w:val="0"/>
          <w:sz w:val="21"/>
        </w:rPr>
        <w:t xml:space="preserve"> (1–2 stars).</w:t>
      </w:r>
    </w:p>
    <w:p>
      <w:pPr>
        <w:ind w:left="454"/>
        <w:jc w:val="both"/>
      </w:pPr>
    </w:p>
    <w:p>
      <w:pPr>
        <w:ind w:left="454"/>
        <w:jc w:val="both"/>
      </w:pPr>
      <w:r>
        <w:rPr>
          <w:rFonts w:ascii="Arial" w:hAnsi="Arial" w:eastAsia="Arial"/>
          <w:b w:val="0"/>
          <w:sz w:val="21"/>
        </w:rPr>
        <w:t xml:space="preserve">The principal substantive problem reported by users was </w:t>
      </w:r>
      <w:r>
        <w:rPr>
          <w:rFonts w:ascii="Arial" w:hAnsi="Arial" w:eastAsia="Arial"/>
          <w:b/>
          <w:sz w:val="21"/>
        </w:rPr>
        <w:t>`ACCESO_CITAS` (Access to Appointments)</w:t>
      </w:r>
      <w:r>
        <w:rPr>
          <w:rFonts w:ascii="Arial" w:hAnsi="Arial" w:eastAsia="Arial"/>
          <w:b w:val="0"/>
          <w:sz w:val="21"/>
        </w:rPr>
        <w:t>:</w:t>
      </w:r>
    </w:p>
    <w:p>
      <w:pPr>
        <w:ind w:left="454"/>
        <w:jc w:val="both"/>
      </w:pPr>
      <w:r>
        <w:rPr>
          <w:rFonts w:ascii="Arial" w:hAnsi="Arial" w:eastAsia="Arial"/>
          <w:b w:val="0"/>
          <w:sz w:val="21"/>
        </w:rPr>
        <w:t xml:space="preserve">* </w:t>
      </w:r>
      <w:r>
        <w:rPr>
          <w:rFonts w:ascii="Arial" w:hAnsi="Arial" w:eastAsia="Arial"/>
          <w:b/>
          <w:sz w:val="21"/>
        </w:rPr>
        <w:t>Volume:</w:t>
      </w:r>
      <w:r>
        <w:rPr>
          <w:rFonts w:ascii="Arial" w:hAnsi="Arial" w:eastAsia="Arial"/>
          <w:b w:val="0"/>
          <w:sz w:val="21"/>
        </w:rPr>
        <w:t xml:space="preserve"> This category was responsible for </w:t>
      </w:r>
      <w:r>
        <w:rPr>
          <w:rFonts w:ascii="Arial" w:hAnsi="Arial" w:eastAsia="Arial"/>
          <w:b/>
          <w:sz w:val="21"/>
        </w:rPr>
        <w:t>2,275 negative reviews</w:t>
      </w:r>
      <w:r>
        <w:rPr>
          <w:rFonts w:ascii="Arial" w:hAnsi="Arial" w:eastAsia="Arial"/>
          <w:b w:val="0"/>
          <w:sz w:val="21"/>
        </w:rPr>
        <w:t>.</w:t>
      </w:r>
    </w:p>
    <w:p>
      <w:pPr>
        <w:ind w:left="454"/>
        <w:jc w:val="both"/>
      </w:pPr>
      <w:r>
        <w:rPr>
          <w:rFonts w:ascii="Arial" w:hAnsi="Arial" w:eastAsia="Arial"/>
          <w:b w:val="0"/>
          <w:sz w:val="21"/>
        </w:rPr>
        <w:t xml:space="preserve">* </w:t>
      </w:r>
      <w:r>
        <w:rPr>
          <w:rFonts w:ascii="Arial" w:hAnsi="Arial" w:eastAsia="Arial"/>
          <w:b/>
          <w:sz w:val="21"/>
        </w:rPr>
        <w:t>Impact:</w:t>
      </w:r>
      <w:r>
        <w:rPr>
          <w:rFonts w:ascii="Arial" w:hAnsi="Arial" w:eastAsia="Arial"/>
          <w:b w:val="0"/>
          <w:sz w:val="21"/>
        </w:rPr>
        <w:t xml:space="preserve"> It accounted for </w:t>
      </w:r>
      <w:r>
        <w:rPr>
          <w:rFonts w:ascii="Arial" w:hAnsi="Arial" w:eastAsia="Arial"/>
          <w:b/>
          <w:sz w:val="21"/>
        </w:rPr>
        <w:t>38.39% of all negative reviews</w:t>
      </w:r>
      <w:r>
        <w:rPr>
          <w:rFonts w:ascii="Arial" w:hAnsi="Arial" w:eastAsia="Arial"/>
          <w:b w:val="0"/>
          <w:sz w:val="21"/>
        </w:rPr>
        <w:t xml:space="preserve"> and </w:t>
      </w:r>
      <w:r>
        <w:rPr>
          <w:rFonts w:ascii="Arial" w:hAnsi="Arial" w:eastAsia="Arial"/>
          <w:b/>
          <w:sz w:val="21"/>
        </w:rPr>
        <w:t>65.47% of all classified substantive problems</w:t>
      </w:r>
      <w:r>
        <w:rPr>
          <w:rFonts w:ascii="Arial" w:hAnsi="Arial" w:eastAsia="Arial"/>
          <w:b w:val="0"/>
          <w:sz w:val="21"/>
        </w:rPr>
        <w:t xml:space="preserve"> during this period.</w:t>
      </w:r>
    </w:p>
    <w:p>
      <w:pPr>
        <w:ind w:left="454"/>
        <w:jc w:val="both"/>
      </w:pPr>
      <w:r>
        <w:rPr>
          <w:rFonts w:ascii="Arial" w:hAnsi="Arial" w:eastAsia="Arial"/>
          <w:b w:val="0"/>
          <w:sz w:val="21"/>
        </w:rPr>
        <w:t xml:space="preserve">* </w:t>
      </w:r>
      <w:r>
        <w:rPr>
          <w:rFonts w:ascii="Arial" w:hAnsi="Arial" w:eastAsia="Arial"/>
          <w:b/>
          <w:sz w:val="21"/>
        </w:rPr>
        <w:t>Lexical Evidence:</w:t>
      </w:r>
      <w:r>
        <w:rPr>
          <w:rFonts w:ascii="Arial" w:hAnsi="Arial" w:eastAsia="Arial"/>
          <w:b w:val="0"/>
          <w:sz w:val="21"/>
        </w:rPr>
        <w:t xml:space="preserve"> The most frequent negative keywords in user reviews were heavily centered around booking issues: *"citas"* (2,583 mentions), *"nunca"* (2,307 mentions), *"sacar"* (1,892 mentions), and *"cita"* (1,885 mentions).</w:t>
      </w:r>
    </w:p>
    <w:p>
      <w:pPr>
        <w:ind w:left="454"/>
        <w:jc w:val="both"/>
      </w:pPr>
      <w:r>
        <w:rPr>
          <w:rFonts w:ascii="Arial" w:hAnsi="Arial" w:eastAsia="Arial"/>
          <w:b w:val="0"/>
          <w:sz w:val="21"/>
        </w:rPr>
        <w:t xml:space="preserve">* </w:t>
      </w:r>
      <w:r>
        <w:rPr>
          <w:rFonts w:ascii="Arial" w:hAnsi="Arial" w:eastAsia="Arial"/>
          <w:b/>
          <w:sz w:val="21"/>
        </w:rPr>
        <w:t>User Sentiment:</w:t>
      </w:r>
      <w:r>
        <w:rPr>
          <w:rFonts w:ascii="Arial" w:hAnsi="Arial" w:eastAsia="Arial"/>
          <w:b w:val="0"/>
          <w:sz w:val="21"/>
        </w:rPr>
        <w:t xml:space="preserve"> Reviewers frequently complained about the absolute lack of available slots, with comments such as *"nunca hay cita cuando en realidad lo necesita"* (there is never an appointment when actually needed) and *"Rara vez se encuentran citas"* (appointments are rarely found).</w:t>
      </w:r>
    </w:p>
    <w:p>
      <w:pPr>
        <w:ind w:left="454"/>
        <w:jc w:val="both"/>
      </w:pPr>
    </w:p>
    <w:p>
      <w:pPr>
        <w:ind w:left="454"/>
        <w:jc w:val="both"/>
      </w:pPr>
      <w:r>
        <w:rPr>
          <w:rFonts w:ascii="Arial" w:hAnsi="Arial" w:eastAsia="Arial"/>
          <w:b w:val="0"/>
          <w:sz w:val="21"/>
        </w:rPr>
        <w:t>---</w:t>
      </w:r>
    </w:p>
    <w:p>
      <w:pPr>
        <w:ind w:left="454"/>
        <w:jc w:val="both"/>
      </w:pPr>
    </w:p>
    <w:p>
      <w:pPr>
        <w:ind w:left="454"/>
        <w:jc w:val="both"/>
      </w:pPr>
      <w:r>
        <w:rPr>
          <w:rFonts w:ascii="Arial" w:hAnsi="Arial" w:eastAsia="Arial"/>
          <w:b w:val="0"/>
          <w:sz w:val="21"/>
        </w:rPr>
        <w:t>### 2. OECD Trend in Costa Rica's Health Expenditure (2021–2023)</w:t>
      </w:r>
    </w:p>
    <w:p>
      <w:pPr>
        <w:ind w:left="454"/>
        <w:jc w:val="both"/>
      </w:pPr>
      <w:r>
        <w:rPr>
          <w:rFonts w:ascii="Arial" w:hAnsi="Arial" w:eastAsia="Arial"/>
          <w:b w:val="0"/>
          <w:sz w:val="21"/>
        </w:rPr>
        <w:t xml:space="preserve">According to the live data from the OECD SDMX API, Costa Rica's health expenditure as a percentage of GDP experienced a </w:t>
      </w:r>
      <w:r>
        <w:rPr>
          <w:rFonts w:ascii="Arial" w:hAnsi="Arial" w:eastAsia="Arial"/>
          <w:b/>
          <w:sz w:val="21"/>
        </w:rPr>
        <w:t>steady decline</w:t>
      </w:r>
      <w:r>
        <w:rPr>
          <w:rFonts w:ascii="Arial" w:hAnsi="Arial" w:eastAsia="Arial"/>
          <w:b w:val="0"/>
          <w:sz w:val="21"/>
        </w:rPr>
        <w:t xml:space="preserve"> over the same period:</w:t>
      </w:r>
    </w:p>
    <w:p>
      <w:pPr>
        <w:ind w:left="454"/>
        <w:jc w:val="both"/>
      </w:pPr>
      <w:r>
        <w:rPr>
          <w:rFonts w:ascii="Arial" w:hAnsi="Arial" w:eastAsia="Arial"/>
          <w:b w:val="0"/>
          <w:sz w:val="21"/>
        </w:rPr>
        <w:t xml:space="preserve">* </w:t>
      </w:r>
      <w:r>
        <w:rPr>
          <w:rFonts w:ascii="Arial" w:hAnsi="Arial" w:eastAsia="Arial"/>
          <w:b/>
          <w:sz w:val="21"/>
        </w:rPr>
        <w:t>2021:</w:t>
      </w:r>
      <w:r>
        <w:rPr>
          <w:rFonts w:ascii="Arial" w:hAnsi="Arial" w:eastAsia="Arial"/>
          <w:b w:val="0"/>
          <w:sz w:val="21"/>
        </w:rPr>
        <w:t xml:space="preserve"> 7.611% of GDP</w:t>
      </w:r>
    </w:p>
    <w:p>
      <w:pPr>
        <w:ind w:left="454"/>
        <w:jc w:val="both"/>
      </w:pPr>
      <w:r>
        <w:rPr>
          <w:rFonts w:ascii="Arial" w:hAnsi="Arial" w:eastAsia="Arial"/>
          <w:b w:val="0"/>
          <w:sz w:val="21"/>
        </w:rPr>
        <w:t xml:space="preserve">* </w:t>
      </w:r>
      <w:r>
        <w:rPr>
          <w:rFonts w:ascii="Arial" w:hAnsi="Arial" w:eastAsia="Arial"/>
          <w:b/>
          <w:sz w:val="21"/>
        </w:rPr>
        <w:t>2022:</w:t>
      </w:r>
      <w:r>
        <w:rPr>
          <w:rFonts w:ascii="Arial" w:hAnsi="Arial" w:eastAsia="Arial"/>
          <w:b w:val="0"/>
          <w:sz w:val="21"/>
        </w:rPr>
        <w:t xml:space="preserve"> 7.184% of GDP</w:t>
      </w:r>
    </w:p>
    <w:p>
      <w:pPr>
        <w:ind w:left="454"/>
        <w:jc w:val="both"/>
      </w:pPr>
      <w:r>
        <w:rPr>
          <w:rFonts w:ascii="Arial" w:hAnsi="Arial" w:eastAsia="Arial"/>
          <w:b w:val="0"/>
          <w:sz w:val="21"/>
        </w:rPr>
        <w:t xml:space="preserve">* </w:t>
      </w:r>
      <w:r>
        <w:rPr>
          <w:rFonts w:ascii="Arial" w:hAnsi="Arial" w:eastAsia="Arial"/>
          <w:b/>
          <w:sz w:val="21"/>
        </w:rPr>
        <w:t>2023:</w:t>
      </w:r>
      <w:r>
        <w:rPr>
          <w:rFonts w:ascii="Arial" w:hAnsi="Arial" w:eastAsia="Arial"/>
          <w:b w:val="0"/>
          <w:sz w:val="21"/>
        </w:rPr>
        <w:t xml:space="preserve"> 6.866% of GDP</w:t>
      </w:r>
    </w:p>
    <w:p>
      <w:pPr>
        <w:ind w:left="454"/>
        <w:jc w:val="both"/>
      </w:pPr>
    </w:p>
    <w:p>
      <w:pPr>
        <w:ind w:left="454"/>
        <w:jc w:val="both"/>
      </w:pPr>
      <w:r>
        <w:rPr>
          <w:rFonts w:ascii="Arial" w:hAnsi="Arial" w:eastAsia="Arial"/>
          <w:b w:val="0"/>
          <w:sz w:val="21"/>
        </w:rPr>
        <w:t xml:space="preserve">*(Note: This represents a total contraction of approximately </w:t>
      </w:r>
      <w:r>
        <w:rPr>
          <w:rFonts w:ascii="Arial" w:hAnsi="Arial" w:eastAsia="Arial"/>
          <w:b/>
          <w:sz w:val="21"/>
        </w:rPr>
        <w:t>0.745 percentage points</w:t>
      </w:r>
      <w:r>
        <w:rPr>
          <w:rFonts w:ascii="Arial" w:hAnsi="Arial" w:eastAsia="Arial"/>
          <w:b w:val="0"/>
          <w:sz w:val="21"/>
        </w:rPr>
        <w:t xml:space="preserve"> of GDP allocated to healthcare over just two years).*</w:t>
      </w:r>
    </w:p>
    <w:p>
      <w:pPr>
        <w:ind w:left="454"/>
        <w:jc w:val="both"/>
      </w:pPr>
    </w:p>
    <w:p>
      <w:pPr>
        <w:ind w:left="454"/>
        <w:jc w:val="both"/>
      </w:pPr>
      <w:r>
        <w:rPr>
          <w:rFonts w:ascii="Arial" w:hAnsi="Arial" w:eastAsia="Arial"/>
          <w:b w:val="0"/>
          <w:sz w:val="21"/>
        </w:rPr>
        <w:t>---</w:t>
      </w:r>
    </w:p>
    <w:p>
      <w:pPr>
        <w:ind w:left="454"/>
        <w:jc w:val="both"/>
      </w:pPr>
    </w:p>
    <w:p>
      <w:pPr>
        <w:ind w:left="454"/>
        <w:jc w:val="both"/>
      </w:pPr>
      <w:r>
        <w:rPr>
          <w:rFonts w:ascii="Arial" w:hAnsi="Arial" w:eastAsia="Arial"/>
          <w:b w:val="0"/>
          <w:sz w:val="21"/>
        </w:rPr>
        <w:t>### 3. How the Two Trends Relate</w:t>
      </w:r>
    </w:p>
    <w:p>
      <w:pPr>
        <w:ind w:left="454"/>
        <w:jc w:val="both"/>
      </w:pPr>
      <w:r>
        <w:rPr>
          <w:rFonts w:ascii="Arial" w:hAnsi="Arial" w:eastAsia="Arial"/>
          <w:b w:val="0"/>
          <w:sz w:val="21"/>
        </w:rPr>
        <w:t>The severe difficulty users faced when trying to secure medical appointments through the app is a direct digital manifestation of the broader systemic constraints indicated by the OECD financial data:</w:t>
      </w:r>
    </w:p>
    <w:p>
      <w:pPr>
        <w:ind w:left="454"/>
        <w:jc w:val="both"/>
      </w:pPr>
    </w:p>
    <w:p>
      <w:pPr>
        <w:ind w:left="454"/>
        <w:jc w:val="both"/>
      </w:pPr>
      <w:r>
        <w:rPr>
          <w:rFonts w:ascii="Arial" w:hAnsi="Arial" w:eastAsia="Arial"/>
          <w:b w:val="0"/>
          <w:sz w:val="21"/>
        </w:rPr>
        <w:t xml:space="preserve">1. </w:t>
      </w:r>
      <w:r>
        <w:rPr>
          <w:rFonts w:ascii="Arial" w:hAnsi="Arial" w:eastAsia="Arial"/>
          <w:b/>
          <w:sz w:val="21"/>
        </w:rPr>
        <w:t>Resource Contraction vs. System Saturation:</w:t>
      </w:r>
      <w:r>
        <w:rPr>
          <w:rFonts w:ascii="Arial" w:hAnsi="Arial" w:eastAsia="Arial"/>
          <w:b w:val="0"/>
          <w:sz w:val="21"/>
        </w:rPr>
        <w:t xml:space="preserve"> A declining share of GDP dedicated to health expenditure (dropping from 7.61% to 6.87%) typically translates to budget cuts, frozen hiring for medical staff, or reduced operational capacity within public health facilities.</w:t>
      </w:r>
    </w:p>
    <w:p>
      <w:pPr>
        <w:ind w:left="454"/>
        <w:jc w:val="both"/>
      </w:pPr>
      <w:r>
        <w:rPr>
          <w:rFonts w:ascii="Arial" w:hAnsi="Arial" w:eastAsia="Arial"/>
          <w:b w:val="0"/>
          <w:sz w:val="21"/>
        </w:rPr>
        <w:t xml:space="preserve">2. </w:t>
      </w:r>
      <w:r>
        <w:rPr>
          <w:rFonts w:ascii="Arial" w:hAnsi="Arial" w:eastAsia="Arial"/>
          <w:b/>
          <w:sz w:val="21"/>
        </w:rPr>
        <w:t>The "Digital Bottleneck":</w:t>
      </w:r>
      <w:r>
        <w:rPr>
          <w:rFonts w:ascii="Arial" w:hAnsi="Arial" w:eastAsia="Arial"/>
          <w:b w:val="0"/>
          <w:sz w:val="21"/>
        </w:rPr>
        <w:t xml:space="preserve"> When physical resources (doctors, clinic hours, and consultation rooms) shrink or fail to keep pace with population demand due to reduced funding, the digital application reflects this shortage. The app itself is not necessarily failing technically; rather, it has </w:t>
      </w:r>
      <w:r>
        <w:rPr>
          <w:rFonts w:ascii="Arial" w:hAnsi="Arial" w:eastAsia="Arial"/>
          <w:b/>
          <w:sz w:val="21"/>
        </w:rPr>
        <w:t>no appointments left to distribute</w:t>
      </w:r>
      <w:r>
        <w:rPr>
          <w:rFonts w:ascii="Arial" w:hAnsi="Arial" w:eastAsia="Arial"/>
          <w:b w:val="0"/>
          <w:sz w:val="21"/>
        </w:rPr>
        <w:t>.</w:t>
      </w:r>
    </w:p>
    <w:p>
      <w:pPr>
        <w:ind w:left="454"/>
        <w:jc w:val="both"/>
      </w:pPr>
      <w:r>
        <w:rPr>
          <w:rFonts w:ascii="Arial" w:hAnsi="Arial" w:eastAsia="Arial"/>
          <w:b w:val="0"/>
          <w:sz w:val="21"/>
        </w:rPr>
        <w:t xml:space="preserve">3. </w:t>
      </w:r>
      <w:r>
        <w:rPr>
          <w:rFonts w:ascii="Arial" w:hAnsi="Arial" w:eastAsia="Arial"/>
          <w:b/>
          <w:sz w:val="21"/>
        </w:rPr>
        <w:t>Direct Correlation:</w:t>
      </w:r>
      <w:r>
        <w:rPr>
          <w:rFonts w:ascii="Arial" w:hAnsi="Arial" w:eastAsia="Arial"/>
          <w:b w:val="0"/>
          <w:sz w:val="21"/>
        </w:rPr>
        <w:t xml:space="preserve"> The steady decrease in healthcare funding over these three years directly correlates with the high volume of user frustration regarding appointment availability. The digital platform became a bottleneck where citizens directly felt the real-world impact of macroeconomic healthcare budget cuts.</w:t>
      </w:r>
    </w:p>
    <w:p>
      <w:pPr>
        <w:jc w:val="center"/>
      </w:pPr>
      <w:r>
        <w:t>____________________________________________________________</w:t>
      </w:r>
    </w:p>
    <w:p>
      <w:pPr>
        <w:keepNext/>
        <w:spacing w:before="240"/>
        <w:jc w:val="left"/>
      </w:pPr>
      <w:r>
        <w:rPr>
          <w:rFonts w:ascii="Arial" w:hAnsi="Arial" w:eastAsia="Arial"/>
          <w:b/>
          <w:color w:val="1B4F72"/>
          <w:sz w:val="26"/>
        </w:rPr>
        <w:t>R20</w:t>
      </w:r>
    </w:p>
    <w:p>
      <w:pPr>
        <w:spacing w:after="120"/>
        <w:jc w:val="both"/>
      </w:pPr>
      <w:r>
        <w:rPr>
          <w:rFonts w:ascii="Arial" w:hAnsi="Arial" w:eastAsia="Arial"/>
          <w:b/>
          <w:sz w:val="22"/>
        </w:rPr>
        <w:t>Pregunta:</w:t>
      </w:r>
      <w:r>
        <w:rPr>
          <w:rFonts w:ascii="Arial" w:hAnsi="Arial" w:eastAsia="Arial"/>
          <w:b w:val="0"/>
          <w:sz w:val="22"/>
        </w:rPr>
        <w:t xml:space="preserve"> What was the main problem reported by users of the application during 2019–2021, and how did Costa Rica's World Bank domestic general government health expenditure as a share of general government expenditure and OECD health expenditure as a percentage of GDP change over the same period?</w:t>
      </w:r>
    </w:p>
    <w:p>
      <w:pPr>
        <w:spacing w:after="120"/>
        <w:jc w:val="both"/>
      </w:pPr>
      <w:r>
        <w:rPr>
          <w:rFonts w:ascii="Arial" w:hAnsi="Arial" w:eastAsia="Arial"/>
          <w:b/>
          <w:sz w:val="22"/>
        </w:rPr>
        <w:t>Llamadas a herramientas (en el orden emitido):</w:t>
      </w:r>
    </w:p>
    <w:p>
      <w:pPr>
        <w:ind w:left="454" w:hanging="283"/>
        <w:jc w:val="left"/>
      </w:pPr>
      <w:r>
        <w:rPr>
          <w:rFonts w:ascii="Arial" w:hAnsi="Arial" w:eastAsia="Arial"/>
          <w:b w:val="0"/>
          <w:sz w:val="22"/>
        </w:rPr>
        <w:t xml:space="preserve">1. </w:t>
      </w:r>
      <w:r>
        <w:rPr>
          <w:rFonts w:ascii="Consolas" w:hAnsi="Consolas" w:eastAsia="Consolas"/>
          <w:sz w:val="18"/>
        </w:rPr>
        <w:t>query_local_reviews</w:t>
      </w:r>
      <w:r>
        <w:rPr>
          <w:rFonts w:ascii="Arial" w:hAnsi="Arial" w:eastAsia="Arial"/>
          <w:b w:val="0"/>
          <w:sz w:val="22"/>
        </w:rPr>
        <w:t xml:space="preserve"> — argumentos: </w:t>
      </w:r>
      <w:r>
        <w:rPr>
          <w:rFonts w:ascii="Consolas" w:hAnsi="Consolas" w:eastAsia="Consolas"/>
          <w:sz w:val="18"/>
        </w:rPr>
        <w:t>{"end_date": "2021-12-31", "start_date": "2019-01-01"}</w:t>
      </w:r>
    </w:p>
    <w:p>
      <w:pPr>
        <w:spacing w:after="120"/>
        <w:jc w:val="both"/>
      </w:pPr>
      <w:r>
        <w:rPr>
          <w:rFonts w:ascii="Arial" w:hAnsi="Arial" w:eastAsia="Arial"/>
          <w:b w:val="0"/>
          <w:sz w:val="22"/>
        </w:rPr>
        <w:t>Resultado: OK</w:t>
      </w:r>
    </w:p>
    <w:p>
      <w:pPr>
        <w:ind w:left="454"/>
        <w:jc w:val="left"/>
      </w:pPr>
      <w:r>
        <w:rPr>
          <w:rFonts w:ascii="Consolas" w:hAnsi="Consolas" w:eastAsia="Consolas"/>
          <w:sz w:val="18"/>
        </w:rPr>
        <w:t>{"source": "local_reviews", "date_range": {"start": "2019-01-01", "end": "2021-12-31"}, "total_reviews": 26035, "valid_reviews_for_analysis": 26035, "sentiment_distribution": {"POS": 19908, "NEG": 4428, "NEU": 1699}, "top_negative_keywords": [["citas", 1956], ["nunca", 1884], ["cita", 1457], ["sacar", 1385], ["mala", 448], ["sirve", 432], ["puede", 416], ["disponibles", 413], ["nada", 377], ["puedo", 318], ["uno", 281], ["ebais", 261], ["siempre", 245], ["dice", 238], ["solo", 223]], "sample_negative_reviews": ["En realidad no funciona, igual son las largas filas en farmacia en consulta y para obtener alguna cita, lo demás es meramente informativo. No sirve y tampoco actualiza los datos, mucho dinero para estar peor que antes. Le doy una estrella puesto puedo darle menos.", "Mala app", "No sirve", "No he podido encontrar citas ni una sola vez", "No toda la información se encuentra"], "negative_review_count": 4428, "topic_coverage": {"with_topic_assignment": 4428, "missing_topic_assignment_count": 0, "assigned_non_noise_count": 2926, "topic_noise_count": 1502, "excluded_assigned_review_count": 317, "substantive_problem_count": 2609, "substantive_coverage_pct": 58.9205}, "problem_categories": [{"category": "ACCESO_CITAS", "count": 1812, "pct_of_substantive_problems": 69.4519, "pct_of_negative_reviews": 40.9214}, {"category": "INFORMACION_CLINICA", "count": 302, "pct_of_substantive_problems": 11.5753, "pct_of_negative_reviews": 6.8202}, {"category": "AUTENTICACION_ACCESO", "count": 196, "pct_of_substantive_problems": 7.5125, "pct_of_negative_reviews": 4.4264}, {"category": "RENDIMIENTO_APP", "count": 164, "pct_of_substantive_problems": 6.2859, "pct_of_negative_reviews": 3.7037}, {"category": "REGISTRO_CUENTA", "count": 59, "pct_of_substantive_problems": 2.2614, "pct_of_negative_reviews": 1.3324}, {"category": "CALIDAD_ACTUALIZACION_INFO", "count": 58, "pct_of_substantive_problems": 2.2231, "pct_of_negative_reviews": 1.3098}, {"category": "INFORMACION_ADMINISTRATIVA", "count": 18, "pct_of_substantive_problems": 0.6899, "pct_of_negative_reviews": 0.4065}], "main_problem": {"category": "ACCESO_CITAS", "count": 1812, "pct_of_substantive_problems": 69.4519, "pct_of_negative_reviews": 40.9214}, "invalid_rating_count": 0, "invalid_rating_pct": 0.0}</w:t>
      </w:r>
    </w:p>
    <w:p>
      <w:pPr>
        <w:ind w:left="454" w:hanging="283"/>
        <w:jc w:val="left"/>
      </w:pPr>
      <w:r>
        <w:rPr>
          <w:rFonts w:ascii="Arial" w:hAnsi="Arial" w:eastAsia="Arial"/>
          <w:b w:val="0"/>
          <w:sz w:val="22"/>
        </w:rPr>
        <w:t xml:space="preserve">2. </w:t>
      </w:r>
      <w:r>
        <w:rPr>
          <w:rFonts w:ascii="Consolas" w:hAnsi="Consolas" w:eastAsia="Consolas"/>
          <w:sz w:val="18"/>
        </w:rPr>
        <w:t>get_worldbank_indicator</w:t>
      </w:r>
      <w:r>
        <w:rPr>
          <w:rFonts w:ascii="Arial" w:hAnsi="Arial" w:eastAsia="Arial"/>
          <w:b w:val="0"/>
          <w:sz w:val="22"/>
        </w:rPr>
        <w:t xml:space="preserve"> — argumentos: </w:t>
      </w:r>
      <w:r>
        <w:rPr>
          <w:rFonts w:ascii="Consolas" w:hAnsi="Consolas" w:eastAsia="Consolas"/>
          <w:sz w:val="18"/>
        </w:rPr>
        <w:t>{"indicator": "domestic_govt_health_expenditure_pct_govt_expenditure", "end_year": 2021, "country_iso3": "CRI", "start_year": 2019}</w:t>
      </w:r>
    </w:p>
    <w:p>
      <w:pPr>
        <w:spacing w:after="120"/>
        <w:jc w:val="both"/>
      </w:pPr>
      <w:r>
        <w:rPr>
          <w:rFonts w:ascii="Arial" w:hAnsi="Arial" w:eastAsia="Arial"/>
          <w:b w:val="0"/>
          <w:sz w:val="22"/>
        </w:rPr>
        <w:t>Resultado: OK</w:t>
      </w:r>
    </w:p>
    <w:p>
      <w:pPr>
        <w:ind w:left="454"/>
        <w:jc w:val="left"/>
      </w:pPr>
      <w:r>
        <w:rPr>
          <w:rFonts w:ascii="Consolas" w:hAnsi="Consolas" w:eastAsia="Consolas"/>
          <w:sz w:val="18"/>
        </w:rPr>
        <w:t>{"source": "World Bank", "indicator_code": "SH.XPD.GHED.GE.ZS", "indicator_name": "Domestic general government health expenditure (% of general government expenditure)", "country_iso3": "CRI", "observations": [{"year": "2019", "value": 24.15332603}, {"year": "2020", "value": 25.20714569}, {"year": "2021", "value": 25.77289963}], "query_url": "https://api.worldbank.org/v2/country/CRI/indicator/SH.XPD.GHED.GE.ZS?format=json&amp;per_page=1000&amp;date=2019%3A2021"}</w:t>
      </w:r>
    </w:p>
    <w:p>
      <w:pPr>
        <w:ind w:left="454" w:hanging="283"/>
        <w:jc w:val="left"/>
      </w:pPr>
      <w:r>
        <w:rPr>
          <w:rFonts w:ascii="Arial" w:hAnsi="Arial" w:eastAsia="Arial"/>
          <w:b w:val="0"/>
          <w:sz w:val="22"/>
        </w:rPr>
        <w:t xml:space="preserve">3. </w:t>
      </w:r>
      <w:r>
        <w:rPr>
          <w:rFonts w:ascii="Consolas" w:hAnsi="Consolas" w:eastAsia="Consolas"/>
          <w:sz w:val="18"/>
        </w:rPr>
        <w:t>get_oecd_indicator</w:t>
      </w:r>
      <w:r>
        <w:rPr>
          <w:rFonts w:ascii="Arial" w:hAnsi="Arial" w:eastAsia="Arial"/>
          <w:b w:val="0"/>
          <w:sz w:val="22"/>
        </w:rPr>
        <w:t xml:space="preserve"> — argumentos: </w:t>
      </w:r>
      <w:r>
        <w:rPr>
          <w:rFonts w:ascii="Consolas" w:hAnsi="Consolas" w:eastAsia="Consolas"/>
          <w:sz w:val="18"/>
        </w:rPr>
        <w:t>{"indicator": "health_expenditure_pct_gdp", "start_period": "2019", "country_iso3": "CRI"}</w:t>
      </w:r>
    </w:p>
    <w:p>
      <w:pPr>
        <w:spacing w:after="120"/>
        <w:jc w:val="both"/>
      </w:pPr>
      <w:r>
        <w:rPr>
          <w:rFonts w:ascii="Arial" w:hAnsi="Arial" w:eastAsia="Arial"/>
          <w:b w:val="0"/>
          <w:sz w:val="22"/>
        </w:rPr>
        <w:t>Resultado: OK</w:t>
      </w:r>
    </w:p>
    <w:p>
      <w:pPr>
        <w:ind w:left="454"/>
        <w:jc w:val="left"/>
      </w:pPr>
      <w:r>
        <w:rPr>
          <w:rFonts w:ascii="Consolas" w:hAnsi="Consolas" w:eastAsia="Consolas"/>
          <w:sz w:val="18"/>
        </w:rPr>
        <w:t>{"source": "OECD", "dataflow": "OECD.ELS.HD,DSD_SHA@DF_SHA,", "key": "CRI.A.EXP_HEALTH.PT_B1GQ._T._Z._T._T._T._Z._Z._Z", "country_iso3": "CRI", "observations": [{"year": "2019", "value": 7.221}, {"year": "2020", "value": 7.825}, {"year": "2021", "value": 7.611}, {"year": "2022", "value": 7.184}, {"year": "2023", "value": 6.866}, {"year": "2024", "value": 6.91}, {"year": "2025", "value": 6.776}], "query_url": "https://sdmx.oecd.org/public/rest/data/OECD.ELS.HD,DSD_SHA@DF_SHA,/CRI.A.EXP_HEALTH.PT_B1GQ._T._Z._T._T._T._Z._Z._Z?startPeriod=2019", "response_meta": {"schema": "https://raw.githubusercontent.com/sdmx-twg/sdmx-json/master/data-message/tools/schemas/2.0.0/sdmx-json-data-schema.json", "id": "IREF001083", "prepared": "2026-09-07T02:46:00Z", "test": false, "contentLanguages": ["en", "en-US"], "sender": {"id": "Disseminate_Final_DMZ", "name": "unknown", "names": {"en-US": "unknown"}}}}</w:t>
      </w:r>
    </w:p>
    <w:p>
      <w:pPr>
        <w:spacing w:after="120"/>
        <w:jc w:val="both"/>
      </w:pPr>
      <w:r>
        <w:rPr>
          <w:rFonts w:ascii="Arial" w:hAnsi="Arial" w:eastAsia="Arial"/>
          <w:b/>
          <w:sz w:val="22"/>
        </w:rPr>
        <w:t>Respuesta final del sistema:</w:t>
      </w:r>
    </w:p>
    <w:p>
      <w:pPr>
        <w:ind w:left="454"/>
        <w:jc w:val="both"/>
      </w:pPr>
      <w:r>
        <w:rPr>
          <w:rFonts w:ascii="Arial" w:hAnsi="Arial" w:eastAsia="Arial"/>
          <w:b w:val="0"/>
          <w:sz w:val="21"/>
        </w:rPr>
        <w:t>A continuación se detallan los hallazgos sobre los problemas reportados por los usuarios de la aplicación y la evolución del gasto en salud de Costa Rica durante el periodo 2019–2021, utilizando los datos del corpus local de reseñas y los indicadores institucionales del Banco Mundial y la OCDE.</w:t>
      </w:r>
    </w:p>
    <w:p>
      <w:pPr>
        <w:ind w:left="454"/>
        <w:jc w:val="both"/>
      </w:pPr>
    </w:p>
    <w:p>
      <w:pPr>
        <w:ind w:left="454"/>
        <w:jc w:val="both"/>
      </w:pPr>
      <w:r>
        <w:rPr>
          <w:rFonts w:ascii="Arial" w:hAnsi="Arial" w:eastAsia="Arial"/>
          <w:b w:val="0"/>
          <w:sz w:val="21"/>
        </w:rPr>
        <w:t>---</w:t>
      </w:r>
    </w:p>
    <w:p>
      <w:pPr>
        <w:ind w:left="454"/>
        <w:jc w:val="both"/>
      </w:pPr>
    </w:p>
    <w:p>
      <w:pPr>
        <w:ind w:left="454"/>
        <w:jc w:val="both"/>
      </w:pPr>
      <w:r>
        <w:rPr>
          <w:rFonts w:ascii="Arial" w:hAnsi="Arial" w:eastAsia="Arial"/>
          <w:b w:val="0"/>
          <w:sz w:val="21"/>
        </w:rPr>
        <w:t>### 1. Principal problema reportado por los usuarios (2019–2021)</w:t>
      </w:r>
    </w:p>
    <w:p>
      <w:pPr>
        <w:ind w:left="454"/>
        <w:jc w:val="both"/>
      </w:pPr>
    </w:p>
    <w:p>
      <w:pPr>
        <w:ind w:left="454"/>
        <w:jc w:val="both"/>
      </w:pPr>
      <w:r>
        <w:rPr>
          <w:rFonts w:ascii="Arial" w:hAnsi="Arial" w:eastAsia="Arial"/>
          <w:b w:val="0"/>
          <w:sz w:val="21"/>
        </w:rPr>
        <w:t xml:space="preserve">Durante el periodo comprendido entre el 1 de enero de 2019 y el 31 de diciembre de 2021, se registraron un total de </w:t>
      </w:r>
      <w:r>
        <w:rPr>
          <w:rFonts w:ascii="Arial" w:hAnsi="Arial" w:eastAsia="Arial"/>
          <w:b/>
          <w:sz w:val="21"/>
        </w:rPr>
        <w:t>26,035 reseñas</w:t>
      </w:r>
      <w:r>
        <w:rPr>
          <w:rFonts w:ascii="Arial" w:hAnsi="Arial" w:eastAsia="Arial"/>
          <w:b w:val="0"/>
          <w:sz w:val="21"/>
        </w:rPr>
        <w:t xml:space="preserve">, de las cuales </w:t>
      </w:r>
      <w:r>
        <w:rPr>
          <w:rFonts w:ascii="Arial" w:hAnsi="Arial" w:eastAsia="Arial"/>
          <w:b/>
          <w:sz w:val="21"/>
        </w:rPr>
        <w:t>4,428 fueron clasificadas como negativas</w:t>
      </w:r>
      <w:r>
        <w:rPr>
          <w:rFonts w:ascii="Arial" w:hAnsi="Arial" w:eastAsia="Arial"/>
          <w:b w:val="0"/>
          <w:sz w:val="21"/>
        </w:rPr>
        <w:t xml:space="preserve"> (calificaciones de 1 o 2 estrellas).</w:t>
      </w:r>
    </w:p>
    <w:p>
      <w:pPr>
        <w:ind w:left="454"/>
        <w:jc w:val="both"/>
      </w:pPr>
    </w:p>
    <w:p>
      <w:pPr>
        <w:ind w:left="454"/>
        <w:jc w:val="both"/>
      </w:pPr>
      <w:r>
        <w:rPr>
          <w:rFonts w:ascii="Arial" w:hAnsi="Arial" w:eastAsia="Arial"/>
          <w:b w:val="0"/>
          <w:sz w:val="21"/>
        </w:rPr>
        <w:t xml:space="preserve">*   </w:t>
      </w:r>
      <w:r>
        <w:rPr>
          <w:rFonts w:ascii="Arial" w:hAnsi="Arial" w:eastAsia="Arial"/>
          <w:b/>
          <w:sz w:val="21"/>
        </w:rPr>
        <w:t>Principal problema:</w:t>
      </w:r>
      <w:r>
        <w:rPr>
          <w:rFonts w:ascii="Arial" w:hAnsi="Arial" w:eastAsia="Arial"/>
          <w:b w:val="0"/>
          <w:sz w:val="21"/>
        </w:rPr>
        <w:t xml:space="preserve"> </w:t>
      </w:r>
      <w:r>
        <w:rPr>
          <w:rFonts w:ascii="Arial" w:hAnsi="Arial" w:eastAsia="Arial"/>
          <w:b/>
          <w:sz w:val="21"/>
        </w:rPr>
        <w:t>`ACCESO_CITAS`</w:t>
      </w:r>
      <w:r>
        <w:rPr>
          <w:rFonts w:ascii="Arial" w:hAnsi="Arial" w:eastAsia="Arial"/>
          <w:b w:val="0"/>
          <w:sz w:val="21"/>
        </w:rPr>
        <w:t xml:space="preserve"> (Dificultades para acceder o programar citas médicas).</w:t>
      </w:r>
    </w:p>
    <w:p>
      <w:pPr>
        <w:ind w:left="454"/>
        <w:jc w:val="both"/>
      </w:pPr>
      <w:r>
        <w:rPr>
          <w:rFonts w:ascii="Arial" w:hAnsi="Arial" w:eastAsia="Arial"/>
          <w:b w:val="0"/>
          <w:sz w:val="21"/>
        </w:rPr>
        <w:t xml:space="preserve">*   </w:t>
      </w:r>
      <w:r>
        <w:rPr>
          <w:rFonts w:ascii="Arial" w:hAnsi="Arial" w:eastAsia="Arial"/>
          <w:b/>
          <w:sz w:val="21"/>
        </w:rPr>
        <w:t>Frecuencia:</w:t>
      </w:r>
      <w:r>
        <w:rPr>
          <w:rFonts w:ascii="Arial" w:hAnsi="Arial" w:eastAsia="Arial"/>
          <w:b w:val="0"/>
          <w:sz w:val="21"/>
        </w:rPr>
        <w:t xml:space="preserve"> </w:t>
      </w:r>
      <w:r>
        <w:rPr>
          <w:rFonts w:ascii="Arial" w:hAnsi="Arial" w:eastAsia="Arial"/>
          <w:b/>
          <w:sz w:val="21"/>
        </w:rPr>
        <w:t>1,812 reseñas</w:t>
      </w:r>
      <w:r>
        <w:rPr>
          <w:rFonts w:ascii="Arial" w:hAnsi="Arial" w:eastAsia="Arial"/>
          <w:b w:val="0"/>
          <w:sz w:val="21"/>
        </w:rPr>
        <w:t xml:space="preserve"> negativas se asignaron a esta categoría.</w:t>
      </w:r>
    </w:p>
    <w:p>
      <w:pPr>
        <w:ind w:left="454"/>
        <w:jc w:val="both"/>
      </w:pPr>
      <w:r>
        <w:rPr>
          <w:rFonts w:ascii="Arial" w:hAnsi="Arial" w:eastAsia="Arial"/>
          <w:b w:val="0"/>
          <w:sz w:val="21"/>
        </w:rPr>
        <w:t xml:space="preserve">*   </w:t>
      </w:r>
      <w:r>
        <w:rPr>
          <w:rFonts w:ascii="Arial" w:hAnsi="Arial" w:eastAsia="Arial"/>
          <w:b/>
          <w:sz w:val="21"/>
        </w:rPr>
        <w:t>Impacto relativo:</w:t>
      </w:r>
      <w:r>
        <w:rPr>
          <w:rFonts w:ascii="Arial" w:hAnsi="Arial" w:eastAsia="Arial"/>
          <w:b w:val="0"/>
          <w:sz w:val="21"/>
        </w:rPr>
        <w:t xml:space="preserve"> Representó el </w:t>
      </w:r>
      <w:r>
        <w:rPr>
          <w:rFonts w:ascii="Arial" w:hAnsi="Arial" w:eastAsia="Arial"/>
          <w:b/>
          <w:sz w:val="21"/>
        </w:rPr>
        <w:t>40.92%</w:t>
      </w:r>
      <w:r>
        <w:rPr>
          <w:rFonts w:ascii="Arial" w:hAnsi="Arial" w:eastAsia="Arial"/>
          <w:b w:val="0"/>
          <w:sz w:val="21"/>
        </w:rPr>
        <w:t xml:space="preserve"> de todas las reseñas negativas del periodo y el </w:t>
      </w:r>
      <w:r>
        <w:rPr>
          <w:rFonts w:ascii="Arial" w:hAnsi="Arial" w:eastAsia="Arial"/>
          <w:b/>
          <w:sz w:val="21"/>
        </w:rPr>
        <w:t>69.45%</w:t>
      </w:r>
      <w:r>
        <w:rPr>
          <w:rFonts w:ascii="Arial" w:hAnsi="Arial" w:eastAsia="Arial"/>
          <w:b w:val="0"/>
          <w:sz w:val="21"/>
        </w:rPr>
        <w:t xml:space="preserve"> de los problemas sustantivos identificados.</w:t>
      </w:r>
    </w:p>
    <w:p>
      <w:pPr>
        <w:ind w:left="454"/>
        <w:jc w:val="both"/>
      </w:pPr>
      <w:r>
        <w:rPr>
          <w:rFonts w:ascii="Arial" w:hAnsi="Arial" w:eastAsia="Arial"/>
          <w:b w:val="0"/>
          <w:sz w:val="21"/>
        </w:rPr>
        <w:t xml:space="preserve">*   </w:t>
      </w:r>
      <w:r>
        <w:rPr>
          <w:rFonts w:ascii="Arial" w:hAnsi="Arial" w:eastAsia="Arial"/>
          <w:b/>
          <w:sz w:val="21"/>
        </w:rPr>
        <w:t>Evidencia léxica y testimonios:</w:t>
      </w:r>
      <w:r>
        <w:rPr>
          <w:rFonts w:ascii="Arial" w:hAnsi="Arial" w:eastAsia="Arial"/>
          <w:b w:val="0"/>
          <w:sz w:val="21"/>
        </w:rPr>
        <w:t xml:space="preserve"> Las palabras clave más frecuentes en las quejas fueron *"citas"*, *"nunca"*, *"cita"* y *"sacar"*. Los usuarios expresaron frustración constante por la falta de cupos disponibles, con comentarios como: *"No he podido encontrar citas ni una sola vez"* o *"En realidad no funciona, igual son las largas filas en farmacia en consulta y para obtener alguna cita..."*.</w:t>
      </w:r>
    </w:p>
    <w:p>
      <w:pPr>
        <w:ind w:left="454"/>
        <w:jc w:val="both"/>
      </w:pPr>
    </w:p>
    <w:p>
      <w:pPr>
        <w:ind w:left="454"/>
        <w:jc w:val="both"/>
      </w:pPr>
      <w:r>
        <w:rPr>
          <w:rFonts w:ascii="Arial" w:hAnsi="Arial" w:eastAsia="Arial"/>
          <w:b w:val="0"/>
          <w:sz w:val="21"/>
        </w:rPr>
        <w:t>---</w:t>
      </w:r>
    </w:p>
    <w:p>
      <w:pPr>
        <w:ind w:left="454"/>
        <w:jc w:val="both"/>
      </w:pPr>
    </w:p>
    <w:p>
      <w:pPr>
        <w:ind w:left="454"/>
        <w:jc w:val="both"/>
      </w:pPr>
      <w:r>
        <w:rPr>
          <w:rFonts w:ascii="Arial" w:hAnsi="Arial" w:eastAsia="Arial"/>
          <w:b w:val="0"/>
          <w:sz w:val="21"/>
        </w:rPr>
        <w:t>### 2. Evolución del gasto en salud de Costa Rica (2019–2021)</w:t>
      </w:r>
    </w:p>
    <w:p>
      <w:pPr>
        <w:ind w:left="454"/>
        <w:jc w:val="both"/>
      </w:pPr>
    </w:p>
    <w:p>
      <w:pPr>
        <w:ind w:left="454"/>
        <w:jc w:val="both"/>
      </w:pPr>
      <w:r>
        <w:rPr>
          <w:rFonts w:ascii="Arial" w:hAnsi="Arial" w:eastAsia="Arial"/>
          <w:b w:val="0"/>
          <w:sz w:val="21"/>
        </w:rPr>
        <w:t xml:space="preserve">Para analizar el gasto en salud pública e institucional de Costa Rica en el mismo periodo, se contrastan los datos del </w:t>
      </w:r>
      <w:r>
        <w:rPr>
          <w:rFonts w:ascii="Arial" w:hAnsi="Arial" w:eastAsia="Arial"/>
          <w:b/>
          <w:sz w:val="21"/>
        </w:rPr>
        <w:t>Banco Mundial</w:t>
      </w:r>
      <w:r>
        <w:rPr>
          <w:rFonts w:ascii="Arial" w:hAnsi="Arial" w:eastAsia="Arial"/>
          <w:b w:val="0"/>
          <w:sz w:val="21"/>
        </w:rPr>
        <w:t xml:space="preserve"> (gasto público en salud como porcentaje del gasto gubernamental total) y de la </w:t>
      </w:r>
      <w:r>
        <w:rPr>
          <w:rFonts w:ascii="Arial" w:hAnsi="Arial" w:eastAsia="Arial"/>
          <w:b/>
          <w:sz w:val="21"/>
        </w:rPr>
        <w:t>OCDE</w:t>
      </w:r>
      <w:r>
        <w:rPr>
          <w:rFonts w:ascii="Arial" w:hAnsi="Arial" w:eastAsia="Arial"/>
          <w:b w:val="0"/>
          <w:sz w:val="21"/>
        </w:rPr>
        <w:t xml:space="preserve"> (gasto total en salud como porcentaje del PIB).</w:t>
      </w:r>
    </w:p>
    <w:p>
      <w:pPr>
        <w:ind w:left="454"/>
        <w:jc w:val="both"/>
      </w:pPr>
    </w:p>
    <w:p>
      <w:pPr>
        <w:ind w:left="454"/>
        <w:jc w:val="both"/>
      </w:pPr>
      <w:r>
        <w:rPr>
          <w:rFonts w:ascii="Arial" w:hAnsi="Arial" w:eastAsia="Arial"/>
          <w:b w:val="0"/>
          <w:sz w:val="21"/>
        </w:rPr>
        <w:t>#### A. Gasto público doméstico en salud (% del gasto gubernamental general) — *Fuente: Banco Mundial*</w:t>
      </w:r>
    </w:p>
    <w:p>
      <w:pPr>
        <w:ind w:left="454"/>
        <w:jc w:val="both"/>
      </w:pPr>
      <w:r>
        <w:rPr>
          <w:rFonts w:ascii="Arial" w:hAnsi="Arial" w:eastAsia="Arial"/>
          <w:b w:val="0"/>
          <w:sz w:val="21"/>
        </w:rPr>
        <w:t>Este indicador mide qué proporción del presupuesto total del gobierno se destina a la salud pública.</w:t>
      </w:r>
    </w:p>
    <w:p>
      <w:pPr>
        <w:ind w:left="454"/>
        <w:jc w:val="both"/>
      </w:pPr>
      <w:r>
        <w:rPr>
          <w:rFonts w:ascii="Arial" w:hAnsi="Arial" w:eastAsia="Arial"/>
          <w:b w:val="0"/>
          <w:sz w:val="21"/>
        </w:rPr>
        <w:t xml:space="preserve">*   </w:t>
      </w:r>
      <w:r>
        <w:rPr>
          <w:rFonts w:ascii="Arial" w:hAnsi="Arial" w:eastAsia="Arial"/>
          <w:b/>
          <w:sz w:val="21"/>
        </w:rPr>
        <w:t>2019:</w:t>
      </w:r>
      <w:r>
        <w:rPr>
          <w:rFonts w:ascii="Arial" w:hAnsi="Arial" w:eastAsia="Arial"/>
          <w:b w:val="0"/>
          <w:sz w:val="21"/>
        </w:rPr>
        <w:t xml:space="preserve"> 24.15%</w:t>
      </w:r>
    </w:p>
    <w:p>
      <w:pPr>
        <w:ind w:left="454"/>
        <w:jc w:val="both"/>
      </w:pPr>
      <w:r>
        <w:rPr>
          <w:rFonts w:ascii="Arial" w:hAnsi="Arial" w:eastAsia="Arial"/>
          <w:b w:val="0"/>
          <w:sz w:val="21"/>
        </w:rPr>
        <w:t xml:space="preserve">*   </w:t>
      </w:r>
      <w:r>
        <w:rPr>
          <w:rFonts w:ascii="Arial" w:hAnsi="Arial" w:eastAsia="Arial"/>
          <w:b/>
          <w:sz w:val="21"/>
        </w:rPr>
        <w:t>2020:</w:t>
      </w:r>
      <w:r>
        <w:rPr>
          <w:rFonts w:ascii="Arial" w:hAnsi="Arial" w:eastAsia="Arial"/>
          <w:b w:val="0"/>
          <w:sz w:val="21"/>
        </w:rPr>
        <w:t xml:space="preserve"> 25.21%</w:t>
      </w:r>
    </w:p>
    <w:p>
      <w:pPr>
        <w:ind w:left="454"/>
        <w:jc w:val="both"/>
      </w:pPr>
      <w:r>
        <w:rPr>
          <w:rFonts w:ascii="Arial" w:hAnsi="Arial" w:eastAsia="Arial"/>
          <w:b w:val="0"/>
          <w:sz w:val="21"/>
        </w:rPr>
        <w:t xml:space="preserve">*   </w:t>
      </w:r>
      <w:r>
        <w:rPr>
          <w:rFonts w:ascii="Arial" w:hAnsi="Arial" w:eastAsia="Arial"/>
          <w:b/>
          <w:sz w:val="21"/>
        </w:rPr>
        <w:t>2021:</w:t>
      </w:r>
      <w:r>
        <w:rPr>
          <w:rFonts w:ascii="Arial" w:hAnsi="Arial" w:eastAsia="Arial"/>
          <w:b w:val="0"/>
          <w:sz w:val="21"/>
        </w:rPr>
        <w:t xml:space="preserve"> 25.77%</w:t>
      </w:r>
    </w:p>
    <w:p>
      <w:pPr>
        <w:ind w:left="454"/>
        <w:jc w:val="both"/>
      </w:pPr>
      <w:r>
        <w:rPr>
          <w:rFonts w:ascii="Arial" w:hAnsi="Arial" w:eastAsia="Arial"/>
          <w:b w:val="0"/>
          <w:sz w:val="21"/>
        </w:rPr>
        <w:t xml:space="preserve">*   </w:t>
      </w:r>
      <w:r>
        <w:rPr>
          <w:rFonts w:ascii="Arial" w:hAnsi="Arial" w:eastAsia="Arial"/>
          <w:b/>
          <w:sz w:val="21"/>
        </w:rPr>
        <w:t>Tendencia:</w:t>
      </w:r>
      <w:r>
        <w:rPr>
          <w:rFonts w:ascii="Arial" w:hAnsi="Arial" w:eastAsia="Arial"/>
          <w:b w:val="0"/>
          <w:sz w:val="21"/>
        </w:rPr>
        <w:t xml:space="preserve"> Se observa un </w:t>
      </w:r>
      <w:r>
        <w:rPr>
          <w:rFonts w:ascii="Arial" w:hAnsi="Arial" w:eastAsia="Arial"/>
          <w:b/>
          <w:sz w:val="21"/>
        </w:rPr>
        <w:t>incremento constante y progresivo</w:t>
      </w:r>
      <w:r>
        <w:rPr>
          <w:rFonts w:ascii="Arial" w:hAnsi="Arial" w:eastAsia="Arial"/>
          <w:b w:val="0"/>
          <w:sz w:val="21"/>
        </w:rPr>
        <w:t xml:space="preserve"> año tras año, acumulando un aumento de </w:t>
      </w:r>
      <w:r>
        <w:rPr>
          <w:rFonts w:ascii="Arial" w:hAnsi="Arial" w:eastAsia="Arial"/>
          <w:b/>
          <w:sz w:val="21"/>
        </w:rPr>
        <w:t>1.62 puntos porcentuales</w:t>
      </w:r>
      <w:r>
        <w:rPr>
          <w:rFonts w:ascii="Arial" w:hAnsi="Arial" w:eastAsia="Arial"/>
          <w:b w:val="0"/>
          <w:sz w:val="21"/>
        </w:rPr>
        <w:t xml:space="preserve"> a lo largo del periodo. Esto refleja una priorización presupuestaria creciente de la salud dentro del gasto público costarricense.</w:t>
      </w:r>
    </w:p>
    <w:p>
      <w:pPr>
        <w:ind w:left="454"/>
        <w:jc w:val="both"/>
      </w:pPr>
    </w:p>
    <w:p>
      <w:pPr>
        <w:ind w:left="454"/>
        <w:jc w:val="both"/>
      </w:pPr>
      <w:r>
        <w:rPr>
          <w:rFonts w:ascii="Arial" w:hAnsi="Arial" w:eastAsia="Arial"/>
          <w:b w:val="0"/>
          <w:sz w:val="21"/>
        </w:rPr>
        <w:t>#### B. Gasto en salud (% del PIB) — *Fuente: OCDE*</w:t>
      </w:r>
    </w:p>
    <w:p>
      <w:pPr>
        <w:ind w:left="454"/>
        <w:jc w:val="both"/>
      </w:pPr>
      <w:r>
        <w:rPr>
          <w:rFonts w:ascii="Arial" w:hAnsi="Arial" w:eastAsia="Arial"/>
          <w:b w:val="0"/>
          <w:sz w:val="21"/>
        </w:rPr>
        <w:t>Este indicador mide el gasto total en salud (público y privado) en relación con el tamaño de la economía del país.</w:t>
      </w:r>
    </w:p>
    <w:p>
      <w:pPr>
        <w:ind w:left="454"/>
        <w:jc w:val="both"/>
      </w:pPr>
      <w:r>
        <w:rPr>
          <w:rFonts w:ascii="Arial" w:hAnsi="Arial" w:eastAsia="Arial"/>
          <w:b w:val="0"/>
          <w:sz w:val="21"/>
        </w:rPr>
        <w:t xml:space="preserve">*   </w:t>
      </w:r>
      <w:r>
        <w:rPr>
          <w:rFonts w:ascii="Arial" w:hAnsi="Arial" w:eastAsia="Arial"/>
          <w:b/>
          <w:sz w:val="21"/>
        </w:rPr>
        <w:t>2019:</w:t>
      </w:r>
      <w:r>
        <w:rPr>
          <w:rFonts w:ascii="Arial" w:hAnsi="Arial" w:eastAsia="Arial"/>
          <w:b w:val="0"/>
          <w:sz w:val="21"/>
        </w:rPr>
        <w:t xml:space="preserve"> 7.22%</w:t>
      </w:r>
    </w:p>
    <w:p>
      <w:pPr>
        <w:ind w:left="454"/>
        <w:jc w:val="both"/>
      </w:pPr>
      <w:r>
        <w:rPr>
          <w:rFonts w:ascii="Arial" w:hAnsi="Arial" w:eastAsia="Arial"/>
          <w:b w:val="0"/>
          <w:sz w:val="21"/>
        </w:rPr>
        <w:t xml:space="preserve">*   </w:t>
      </w:r>
      <w:r>
        <w:rPr>
          <w:rFonts w:ascii="Arial" w:hAnsi="Arial" w:eastAsia="Arial"/>
          <w:b/>
          <w:sz w:val="21"/>
        </w:rPr>
        <w:t>2020:</w:t>
      </w:r>
      <w:r>
        <w:rPr>
          <w:rFonts w:ascii="Arial" w:hAnsi="Arial" w:eastAsia="Arial"/>
          <w:b w:val="0"/>
          <w:sz w:val="21"/>
        </w:rPr>
        <w:t xml:space="preserve"> 7.83%</w:t>
      </w:r>
    </w:p>
    <w:p>
      <w:pPr>
        <w:ind w:left="454"/>
        <w:jc w:val="both"/>
      </w:pPr>
      <w:r>
        <w:rPr>
          <w:rFonts w:ascii="Arial" w:hAnsi="Arial" w:eastAsia="Arial"/>
          <w:b w:val="0"/>
          <w:sz w:val="21"/>
        </w:rPr>
        <w:t xml:space="preserve">*   </w:t>
      </w:r>
      <w:r>
        <w:rPr>
          <w:rFonts w:ascii="Arial" w:hAnsi="Arial" w:eastAsia="Arial"/>
          <w:b/>
          <w:sz w:val="21"/>
        </w:rPr>
        <w:t>2021:</w:t>
      </w:r>
      <w:r>
        <w:rPr>
          <w:rFonts w:ascii="Arial" w:hAnsi="Arial" w:eastAsia="Arial"/>
          <w:b w:val="0"/>
          <w:sz w:val="21"/>
        </w:rPr>
        <w:t xml:space="preserve"> 7.61%</w:t>
      </w:r>
    </w:p>
    <w:p>
      <w:pPr>
        <w:ind w:left="454"/>
        <w:jc w:val="both"/>
      </w:pPr>
      <w:r>
        <w:rPr>
          <w:rFonts w:ascii="Arial" w:hAnsi="Arial" w:eastAsia="Arial"/>
          <w:b w:val="0"/>
          <w:sz w:val="21"/>
        </w:rPr>
        <w:t xml:space="preserve">*   </w:t>
      </w:r>
      <w:r>
        <w:rPr>
          <w:rFonts w:ascii="Arial" w:hAnsi="Arial" w:eastAsia="Arial"/>
          <w:b/>
          <w:sz w:val="21"/>
        </w:rPr>
        <w:t>Tendencia:</w:t>
      </w:r>
      <w:r>
        <w:rPr>
          <w:rFonts w:ascii="Arial" w:hAnsi="Arial" w:eastAsia="Arial"/>
          <w:b w:val="0"/>
          <w:sz w:val="21"/>
        </w:rPr>
        <w:t xml:space="preserve"> Presenta un comportamiento de </w:t>
      </w:r>
      <w:r>
        <w:rPr>
          <w:rFonts w:ascii="Arial" w:hAnsi="Arial" w:eastAsia="Arial"/>
          <w:b/>
          <w:sz w:val="21"/>
        </w:rPr>
        <w:t>pico y leve descenso</w:t>
      </w:r>
      <w:r>
        <w:rPr>
          <w:rFonts w:ascii="Arial" w:hAnsi="Arial" w:eastAsia="Arial"/>
          <w:b w:val="0"/>
          <w:sz w:val="21"/>
        </w:rPr>
        <w:t xml:space="preserve">. El gasto aumentó notablemente en 2020 (un incremento de 0.61 puntos porcentuales respecto a 2019, coincidiendo con el inicio de la pandemia de COVID-19 y posibles contracciones del PIB), para luego experimentar una ligera reducción en 2021, cerrando el periodo con un aumento neto de </w:t>
      </w:r>
      <w:r>
        <w:rPr>
          <w:rFonts w:ascii="Arial" w:hAnsi="Arial" w:eastAsia="Arial"/>
          <w:b/>
          <w:sz w:val="21"/>
        </w:rPr>
        <w:t>0.39 puntos porcentuales</w:t>
      </w:r>
      <w:r>
        <w:rPr>
          <w:rFonts w:ascii="Arial" w:hAnsi="Arial" w:eastAsia="Arial"/>
          <w:b w:val="0"/>
          <w:sz w:val="21"/>
        </w:rPr>
        <w:t xml:space="preserve"> en comparación con 2019.</w:t>
      </w:r>
    </w:p>
    <w:p>
      <w:pPr>
        <w:ind w:left="454"/>
        <w:jc w:val="both"/>
      </w:pPr>
    </w:p>
    <w:p>
      <w:pPr>
        <w:ind w:left="454"/>
        <w:jc w:val="both"/>
      </w:pPr>
      <w:r>
        <w:rPr>
          <w:rFonts w:ascii="Arial" w:hAnsi="Arial" w:eastAsia="Arial"/>
          <w:b w:val="0"/>
          <w:sz w:val="21"/>
        </w:rPr>
        <w:t>---</w:t>
      </w:r>
    </w:p>
    <w:p>
      <w:pPr>
        <w:ind w:left="454"/>
        <w:jc w:val="both"/>
      </w:pPr>
    </w:p>
    <w:p>
      <w:pPr>
        <w:ind w:left="454"/>
        <w:jc w:val="both"/>
      </w:pPr>
      <w:r>
        <w:rPr>
          <w:rFonts w:ascii="Arial" w:hAnsi="Arial" w:eastAsia="Arial"/>
          <w:b w:val="0"/>
          <w:sz w:val="21"/>
        </w:rPr>
        <w:t>### Resumen metodológico y de contexto</w:t>
      </w:r>
    </w:p>
    <w:p>
      <w:pPr>
        <w:ind w:left="454"/>
        <w:jc w:val="both"/>
      </w:pPr>
      <w:r>
        <w:rPr>
          <w:rFonts w:ascii="Arial" w:hAnsi="Arial" w:eastAsia="Arial"/>
          <w:b w:val="0"/>
          <w:sz w:val="21"/>
        </w:rPr>
        <w:t>Mientras que los usuarios de la aplicación experimentaban barreras críticas en el acceso digital a los servicios de salud (principalmente la imposibilidad de conseguir citas), el Estado costarricense incrementó de forma sostenida la prioridad presupuestaria de la salud dentro de su gasto público (Banco Mundial). Sin embargo, la presión macroeconómica y el gasto total en salud medido respecto al PIB (OCDE) alcanzaron su punto máximo en el año de crisis sanitaria (2020) antes de estabilizarse levemente en 2021.</w:t>
      </w:r>
    </w:p>
    <w:sectPr w:rsidR="00FC693F" w:rsidRPr="0006063C" w:rsidSect="00034616">
      <w:pgSz w:w="12240" w:h="15840"/>
      <w:pgMar w:top="1440" w:right="1701"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