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/>
        <w:jc w:val="left"/>
      </w:pPr>
      <w:r>
        <w:rPr>
          <w:rFonts w:ascii="Arial" w:hAnsi="Arial" w:eastAsia="Arial"/>
          <w:b/>
          <w:color w:val="1B4F72"/>
          <w:sz w:val="32"/>
        </w:rPr>
        <w:t>Instrucciones para la segunda anotación (grounding)</w:t>
      </w:r>
    </w:p>
    <w:p>
      <w:pPr>
        <w:spacing w:after="120"/>
        <w:jc w:val="both"/>
      </w:pPr>
      <w:r>
        <w:rPr>
          <w:rFonts w:ascii="Arial" w:hAnsi="Arial" w:eastAsia="Arial"/>
          <w:b/>
          <w:sz w:val="22"/>
        </w:rPr>
        <w:t>Qué es esto.</w:t>
      </w:r>
      <w:r>
        <w:rPr>
          <w:rFonts w:ascii="Arial" w:hAnsi="Arial" w:eastAsia="Arial"/>
          <w:b w:val="0"/>
          <w:sz w:val="22"/>
        </w:rPr>
        <w:t xml:space="preserve"> Un sistema de IA respondió preguntas que combinan (a) reseñas de usuarios de una aplicación de salud pública de </w:t>
      </w:r>
      <w:r>
        <w:rPr>
          <w:rFonts w:ascii="Arial" w:hAnsi="Arial" w:eastAsia="Arial"/>
          <w:b/>
          <w:sz w:val="22"/>
        </w:rPr>
        <w:t>Costa Rica</w:t>
      </w:r>
      <w:r>
        <w:rPr>
          <w:rFonts w:ascii="Arial" w:hAnsi="Arial" w:eastAsia="Arial"/>
          <w:b w:val="0"/>
          <w:sz w:val="22"/>
        </w:rPr>
        <w:t xml:space="preserve"> y (b) indicadores de salud del Banco Mundial y de la OCDE. Usted verá 20 casos (R01–R20): la pregunta, las llamadas que el sistema hizo a sus herramientas con sus resultados, y la respuesta final. Su tarea es juzgar si la respuesta está bien fundamentada. </w:t>
      </w:r>
      <w:r>
        <w:rPr>
          <w:rFonts w:ascii="Arial" w:hAnsi="Arial" w:eastAsia="Arial"/>
          <w:b/>
          <w:sz w:val="22"/>
        </w:rPr>
        <w:t>No se indica qué sistema produjo cada caso</w:t>
      </w:r>
      <w:r>
        <w:rPr>
          <w:rFonts w:ascii="Arial" w:hAnsi="Arial" w:eastAsia="Arial"/>
          <w:b w:val="0"/>
          <w:sz w:val="22"/>
        </w:rPr>
        <w:t>; por favor no intente adivinarlo ni lo tenga en cuenta.</w:t>
      </w:r>
    </w:p>
    <w:p>
      <w:pPr>
        <w:spacing w:after="120"/>
        <w:jc w:val="both"/>
      </w:pPr>
      <w:r>
        <w:rPr>
          <w:rFonts w:ascii="Arial" w:hAnsi="Arial" w:eastAsia="Arial"/>
          <w:b/>
          <w:sz w:val="22"/>
        </w:rPr>
        <w:t>Importante:</w:t>
      </w:r>
      <w:r>
        <w:rPr>
          <w:rFonts w:ascii="Arial" w:hAnsi="Arial" w:eastAsia="Arial"/>
          <w:b w:val="0"/>
          <w:sz w:val="22"/>
        </w:rPr>
        <w:t xml:space="preserve"> anote por su cuenta, sin consultar con los autores ni con otros anotadores hasta entregar la hoja. No hay respuestas "esperadas": juzgue solo con lo que ve en cada caso.</w:t>
      </w:r>
    </w:p>
    <w:p>
      <w:pPr>
        <w:keepNext/>
        <w:spacing w:before="240"/>
        <w:jc w:val="left"/>
      </w:pPr>
      <w:r>
        <w:rPr>
          <w:rFonts w:ascii="Arial" w:hAnsi="Arial" w:eastAsia="Arial"/>
          <w:b/>
          <w:color w:val="1B4F72"/>
          <w:sz w:val="26"/>
        </w:rPr>
        <w:t>Qué etiquetar (1 = sí, 0 = no, para cada dimensión)</w:t>
      </w:r>
    </w:p>
    <w:p>
      <w:pPr>
        <w:ind w:left="454" w:hanging="283"/>
        <w:jc w:val="both"/>
      </w:pPr>
      <w:r>
        <w:rPr>
          <w:rFonts w:ascii="Arial" w:hAnsi="Arial" w:eastAsia="Arial"/>
          <w:b w:val="0"/>
          <w:sz w:val="22"/>
        </w:rPr>
        <w:t xml:space="preserve">1. </w:t>
      </w:r>
      <w:r>
        <w:rPr>
          <w:rFonts w:ascii="Arial" w:hAnsi="Arial" w:eastAsia="Arial"/>
          <w:b/>
          <w:sz w:val="22"/>
        </w:rPr>
        <w:t>entity_grounding</w:t>
      </w:r>
      <w:r>
        <w:rPr>
          <w:rFonts w:ascii="Arial" w:hAnsi="Arial" w:eastAsia="Arial"/>
          <w:b w:val="0"/>
          <w:sz w:val="22"/>
        </w:rPr>
        <w:t xml:space="preserve"> — ¿Se usó la entidad, fuente, indicador y período correctos?</w:t>
      </w:r>
    </w:p>
    <w:p>
      <w:pPr>
        <w:ind w:left="907" w:hanging="283"/>
        <w:jc w:val="both"/>
      </w:pPr>
      <w:r>
        <w:rPr>
          <w:rFonts w:ascii="Arial" w:hAnsi="Arial" w:eastAsia="Arial"/>
          <w:b w:val="0"/>
          <w:sz w:val="22"/>
        </w:rPr>
        <w:t xml:space="preserve">• </w:t>
      </w:r>
      <w:r>
        <w:rPr>
          <w:rFonts w:ascii="Arial" w:hAnsi="Arial" w:eastAsia="Arial"/>
          <w:b/>
          <w:sz w:val="22"/>
        </w:rPr>
        <w:t>Regla fija:</w:t>
      </w:r>
      <w:r>
        <w:rPr>
          <w:rFonts w:ascii="Arial" w:hAnsi="Arial" w:eastAsia="Arial"/>
          <w:b w:val="0"/>
          <w:sz w:val="22"/>
        </w:rPr>
        <w:t xml:space="preserve"> el país del estudio es </w:t>
      </w:r>
      <w:r>
        <w:rPr>
          <w:rFonts w:ascii="Arial" w:hAnsi="Arial" w:eastAsia="Arial"/>
          <w:b/>
          <w:sz w:val="22"/>
        </w:rPr>
        <w:t>Costa Rica</w:t>
      </w:r>
      <w:r>
        <w:rPr>
          <w:rFonts w:ascii="Arial" w:hAnsi="Arial" w:eastAsia="Arial"/>
          <w:b w:val="0"/>
          <w:sz w:val="22"/>
        </w:rPr>
        <w:t>, aunque la pregunta no lo nombre. Si la respuesta o las llamadas usan datos de otro país (o de dos países sin que la pregunta lo pida) como si fueran los del estudio → 0.</w:t>
      </w:r>
    </w:p>
    <w:p>
      <w:pPr>
        <w:ind w:left="907" w:hanging="283"/>
        <w:jc w:val="both"/>
      </w:pPr>
      <w:r>
        <w:rPr>
          <w:rFonts w:ascii="Arial" w:hAnsi="Arial" w:eastAsia="Arial"/>
          <w:b w:val="0"/>
          <w:sz w:val="22"/>
        </w:rPr>
        <w:t>• Si una consulta necesaria falló y la comparación pedida no se completó → 0.</w:t>
      </w:r>
    </w:p>
    <w:p>
      <w:pPr>
        <w:ind w:left="907" w:hanging="283"/>
        <w:jc w:val="both"/>
      </w:pPr>
      <w:r>
        <w:rPr>
          <w:rFonts w:ascii="Arial" w:hAnsi="Arial" w:eastAsia="Arial"/>
          <w:b w:val="0"/>
          <w:sz w:val="22"/>
        </w:rPr>
        <w:t>• Revise también la fuente (Banco Mundial / OCDE / reseñas), el indicador pedido y el período pedido.</w:t>
      </w:r>
    </w:p>
    <w:p>
      <w:pPr>
        <w:ind w:left="454" w:hanging="283"/>
        <w:jc w:val="both"/>
      </w:pPr>
      <w:r>
        <w:rPr>
          <w:rFonts w:ascii="Arial" w:hAnsi="Arial" w:eastAsia="Arial"/>
          <w:b w:val="0"/>
          <w:sz w:val="22"/>
        </w:rPr>
        <w:t xml:space="preserve">2. </w:t>
      </w:r>
      <w:r>
        <w:rPr>
          <w:rFonts w:ascii="Arial" w:hAnsi="Arial" w:eastAsia="Arial"/>
          <w:b/>
          <w:sz w:val="22"/>
        </w:rPr>
        <w:t>evidence_grounding</w:t>
      </w:r>
      <w:r>
        <w:rPr>
          <w:rFonts w:ascii="Arial" w:hAnsi="Arial" w:eastAsia="Arial"/>
          <w:b w:val="0"/>
          <w:sz w:val="22"/>
        </w:rPr>
        <w:t xml:space="preserve"> — ¿Las afirmaciones factuales y explicativas de la respuesta están respaldadas por los resultados que se ven en las llamadas? Basta una afirmación sustantiva sin respaldo, o un número que no coincide con los resultados, para poner 0. Redondeos razonables no cuentan como error.</w:t>
      </w:r>
    </w:p>
    <w:p>
      <w:pPr>
        <w:ind w:left="454" w:hanging="283"/>
        <w:jc w:val="both"/>
      </w:pPr>
      <w:r>
        <w:rPr>
          <w:rFonts w:ascii="Arial" w:hAnsi="Arial" w:eastAsia="Arial"/>
          <w:b w:val="0"/>
          <w:sz w:val="22"/>
        </w:rPr>
        <w:t xml:space="preserve">3. </w:t>
      </w:r>
      <w:r>
        <w:rPr>
          <w:rFonts w:ascii="Arial" w:hAnsi="Arial" w:eastAsia="Arial"/>
          <w:b/>
          <w:sz w:val="22"/>
        </w:rPr>
        <w:t>causal_grounding</w:t>
      </w:r>
      <w:r>
        <w:rPr>
          <w:rFonts w:ascii="Arial" w:hAnsi="Arial" w:eastAsia="Arial"/>
          <w:b w:val="0"/>
          <w:sz w:val="22"/>
        </w:rPr>
        <w:t xml:space="preserve"> — ¿La respuesta evita inferir causalidad o un mecanismo a partir de que dos series se muevan juntas o en direcciones distintas? Observar o describir co-movimiento → 1. Afirmar o sugerir que uno causa/explica al otro, o atribuir una tendencia a un evento o mecanismo no presente en los datos → 0.</w:t>
      </w:r>
    </w:p>
    <w:p>
      <w:pPr>
        <w:spacing w:after="120"/>
        <w:jc w:val="both"/>
      </w:pPr>
      <w:r>
        <w:rPr>
          <w:rFonts w:ascii="Arial" w:hAnsi="Arial" w:eastAsia="Arial"/>
          <w:b/>
          <w:sz w:val="22"/>
        </w:rPr>
        <w:t>Qué NO debe hacer:</w:t>
      </w:r>
      <w:r>
        <w:rPr>
          <w:rFonts w:ascii="Arial" w:hAnsi="Arial" w:eastAsia="Arial"/>
          <w:b w:val="0"/>
          <w:sz w:val="22"/>
        </w:rPr>
        <w:t xml:space="preserve"> compare siempre contra los resultados que se muestran en cada caso. No recalcule conteos ni porcentajes desde las reseñas originales, no busque datos externos y no juzgue si la herramienta calculó bien: solo si la respuesta es fiel a lo que la herramienta devolvió. Tampoco evalúe la longitud ni el estilo de la respuesta.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22"/>
        </w:rPr>
        <w:t xml:space="preserve">Cada dimensión se juzga </w:t>
      </w:r>
      <w:r>
        <w:rPr>
          <w:rFonts w:ascii="Arial" w:hAnsi="Arial" w:eastAsia="Arial"/>
          <w:b/>
          <w:sz w:val="22"/>
        </w:rPr>
        <w:t>por separado</w:t>
      </w:r>
      <w:r>
        <w:rPr>
          <w:rFonts w:ascii="Arial" w:hAnsi="Arial" w:eastAsia="Arial"/>
          <w:b w:val="0"/>
          <w:sz w:val="22"/>
        </w:rPr>
        <w:t>. No calcule un "total": se calcula después.</w:t>
      </w:r>
    </w:p>
    <w:p>
      <w:pPr>
        <w:keepNext/>
        <w:spacing w:before="240"/>
        <w:jc w:val="left"/>
      </w:pPr>
      <w:r>
        <w:rPr>
          <w:rFonts w:ascii="Arial" w:hAnsi="Arial" w:eastAsia="Arial"/>
          <w:b/>
          <w:color w:val="1B4F72"/>
          <w:sz w:val="26"/>
        </w:rPr>
        <w:t>Cómo entregar</w:t>
      </w:r>
    </w:p>
    <w:p>
      <w:pPr>
        <w:ind w:left="454" w:hanging="283"/>
        <w:jc w:val="left"/>
      </w:pPr>
      <w:r>
        <w:rPr>
          <w:rFonts w:ascii="Arial" w:hAnsi="Arial" w:eastAsia="Arial"/>
          <w:b w:val="0"/>
          <w:sz w:val="22"/>
        </w:rPr>
        <w:t xml:space="preserve">• Llene </w:t>
      </w:r>
      <w:r>
        <w:rPr>
          <w:rFonts w:ascii="Consolas" w:hAnsi="Consolas" w:eastAsia="Consolas"/>
          <w:sz w:val="18"/>
        </w:rPr>
        <w:t>03_Hoja_de_etiquetas.xlsx</w:t>
      </w:r>
      <w:r>
        <w:rPr>
          <w:rFonts w:ascii="Arial" w:hAnsi="Arial" w:eastAsia="Arial"/>
          <w:b w:val="0"/>
          <w:sz w:val="22"/>
        </w:rPr>
        <w:t xml:space="preserve"> (0 o 1 en cada celda; la columna </w:t>
      </w:r>
      <w:r>
        <w:rPr>
          <w:rFonts w:ascii="Consolas" w:hAnsi="Consolas" w:eastAsia="Consolas"/>
          <w:sz w:val="18"/>
        </w:rPr>
        <w:t>comentario_breve</w:t>
      </w:r>
      <w:r>
        <w:rPr>
          <w:rFonts w:ascii="Arial" w:hAnsi="Arial" w:eastAsia="Arial"/>
          <w:b w:val="0"/>
          <w:sz w:val="22"/>
        </w:rPr>
        <w:t xml:space="preserve"> es opcional pero útil en casos dudosos).</w:t>
      </w:r>
    </w:p>
    <w:p>
      <w:pPr>
        <w:ind w:left="454" w:hanging="283"/>
        <w:jc w:val="both"/>
      </w:pPr>
      <w:r>
        <w:rPr>
          <w:rFonts w:ascii="Arial" w:hAnsi="Arial" w:eastAsia="Arial"/>
          <w:b w:val="0"/>
          <w:sz w:val="22"/>
        </w:rPr>
        <w:t>• Anote cuánto tiempo le tomó en total (aprox.). Se usa para planificar, no para evaluarle.</w:t>
      </w:r>
    </w:p>
    <w:p>
      <w:pPr>
        <w:ind w:left="454" w:hanging="283"/>
        <w:jc w:val="both"/>
      </w:pPr>
      <w:r>
        <w:rPr>
          <w:rFonts w:ascii="Arial" w:hAnsi="Arial" w:eastAsia="Arial"/>
          <w:b w:val="0"/>
          <w:sz w:val="22"/>
        </w:rPr>
        <w:t xml:space="preserve">• Si algo no está claro, </w:t>
      </w:r>
      <w:r>
        <w:rPr>
          <w:rFonts w:ascii="Arial" w:hAnsi="Arial" w:eastAsia="Arial"/>
          <w:b/>
          <w:sz w:val="22"/>
        </w:rPr>
        <w:t>anótelo en el comentario y decida con su mejor criterio</w:t>
      </w:r>
      <w:r>
        <w:rPr>
          <w:rFonts w:ascii="Arial" w:hAnsi="Arial" w:eastAsia="Arial"/>
          <w:b w:val="0"/>
          <w:sz w:val="22"/>
        </w:rPr>
        <w:t>; no deje celdas vacías.</w:t>
      </w:r>
    </w:p>
    <w:p>
      <w:pPr>
        <w:ind w:left="454" w:hanging="283"/>
        <w:jc w:val="both"/>
      </w:pPr>
      <w:r>
        <w:rPr>
          <w:rFonts w:ascii="Arial" w:hAnsi="Arial" w:eastAsia="Arial"/>
          <w:b w:val="0"/>
          <w:sz w:val="22"/>
        </w:rPr>
        <w:t>• Devuelva solo la hoja de etiquetas (y el tiempo).</w:t>
      </w:r>
    </w:p>
    <w:p>
      <w:pPr>
        <w:keepNext/>
        <w:spacing w:before="240"/>
        <w:jc w:val="left"/>
      </w:pPr>
      <w:r>
        <w:rPr>
          <w:rFonts w:ascii="Arial" w:hAnsi="Arial" w:eastAsia="Arial"/>
          <w:b/>
          <w:color w:val="1B4F72"/>
          <w:sz w:val="26"/>
        </w:rPr>
        <w:t>Confidencialidad</w:t>
      </w:r>
    </w:p>
    <w:p>
      <w:pPr>
        <w:spacing w:after="120"/>
        <w:jc w:val="both"/>
      </w:pPr>
      <w:r>
        <w:rPr>
          <w:rFonts w:ascii="Arial" w:hAnsi="Arial" w:eastAsia="Arial"/>
          <w:b w:val="0"/>
          <w:sz w:val="22"/>
        </w:rPr>
        <w:t>Estos materiales son parte de una investigación en curso. No los comparta.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