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3233B"/>
          <w:sz w:val="48"/>
        </w:rPr>
        <w:t>JOTHI WEBSITE MASTER COPY PACK</w:t>
      </w:r>
    </w:p>
    <w:p>
      <w:pPr>
        <w:jc w:val="center"/>
      </w:pPr>
      <w:r>
        <w:rPr>
          <w:color w:val="626875"/>
          <w:sz w:val="23"/>
        </w:rPr>
        <w:t>v3 · Homepage · Programmes · About · Results · Contact · Legal short-form · Tutor profiles · Quick access</w:t>
      </w:r>
    </w:p>
    <w:tbl>
      <w:tblPr>
        <w:tblStyle w:val="TableGrid"/>
        <w:tblW w:type="auto" w:w="0"/>
        <w:jc w:val="center"/>
        <w:tblLayout w:type="fixed"/>
        <w:tblLook w:firstColumn="1" w:firstRow="1" w:lastColumn="0" w:lastRow="0" w:noHBand="0" w:noVBand="1" w:val="04A0"/>
      </w:tblPr>
      <w:tblGrid>
        <w:gridCol w:w="4986"/>
        <w:gridCol w:w="4986"/>
      </w:tblGrid>
      <w:tr>
        <w:tc>
          <w:tcPr>
            <w:tcW w:type="dxa" w:w="2551"/>
            <w:vAlign w:val="center"/>
            <w:tcMar>
              <w:top w:w="120" w:type="dxa"/>
              <w:start w:w="120" w:type="dxa"/>
              <w:bottom w:w="120" w:type="dxa"/>
              <w:end w:w="120" w:type="dxa"/>
            </w:tcMar>
            <w:shd w:fill="F3EEE3"/>
          </w:tcPr>
          <w:p>
            <w:pPr>
              <w:spacing w:after="0"/>
            </w:pPr>
            <w:r>
              <w:rPr>
                <w:b/>
                <w:color w:val="13233B"/>
              </w:rPr>
              <w:t>Status</w:t>
            </w:r>
          </w:p>
        </w:tc>
        <w:tc>
          <w:tcPr>
            <w:tcW w:type="dxa" w:w="5953"/>
            <w:vAlign w:val="center"/>
            <w:tcMar>
              <w:top w:w="120" w:type="dxa"/>
              <w:start w:w="120" w:type="dxa"/>
              <w:bottom w:w="120" w:type="dxa"/>
              <w:end w:w="120" w:type="dxa"/>
            </w:tcMar>
            <w:shd w:fill="FBF9F5"/>
          </w:tcPr>
          <w:p>
            <w:pPr>
              <w:spacing w:after="0"/>
            </w:pPr>
            <w:r>
              <w:t>Approved working draft for implementation</w:t>
            </w:r>
          </w:p>
        </w:tc>
      </w:tr>
      <w:tr>
        <w:tc>
          <w:tcPr>
            <w:tcW w:type="dxa" w:w="2551"/>
            <w:vAlign w:val="center"/>
            <w:tcMar>
              <w:top w:w="120" w:type="dxa"/>
              <w:start w:w="120" w:type="dxa"/>
              <w:bottom w:w="120" w:type="dxa"/>
              <w:end w:w="120" w:type="dxa"/>
            </w:tcMar>
            <w:shd w:fill="F3EEE3"/>
          </w:tcPr>
          <w:p>
            <w:pPr>
              <w:spacing w:after="0"/>
            </w:pPr>
            <w:r>
              <w:rPr>
                <w:b/>
                <w:color w:val="13233B"/>
              </w:rPr>
              <w:t>Date</w:t>
            </w:r>
          </w:p>
        </w:tc>
        <w:tc>
          <w:tcPr>
            <w:tcW w:type="dxa" w:w="5953"/>
            <w:vAlign w:val="center"/>
            <w:tcMar>
              <w:top w:w="120" w:type="dxa"/>
              <w:start w:w="120" w:type="dxa"/>
              <w:bottom w:w="120" w:type="dxa"/>
              <w:end w:w="120" w:type="dxa"/>
            </w:tcMar>
            <w:shd w:fill="FBF9F5"/>
          </w:tcPr>
          <w:p>
            <w:pPr>
              <w:spacing w:after="0"/>
            </w:pPr>
            <w:r>
              <w:t>16 April 2026</w:t>
            </w:r>
          </w:p>
        </w:tc>
      </w:tr>
      <w:tr>
        <w:tc>
          <w:tcPr>
            <w:tcW w:type="dxa" w:w="2551"/>
            <w:vAlign w:val="center"/>
            <w:tcMar>
              <w:top w:w="120" w:type="dxa"/>
              <w:start w:w="120" w:type="dxa"/>
              <w:bottom w:w="120" w:type="dxa"/>
              <w:end w:w="120" w:type="dxa"/>
            </w:tcMar>
            <w:shd w:fill="F3EEE3"/>
          </w:tcPr>
          <w:p>
            <w:pPr>
              <w:spacing w:after="0"/>
            </w:pPr>
            <w:r>
              <w:rPr>
                <w:b/>
                <w:color w:val="13233B"/>
              </w:rPr>
              <w:t>Purpose</w:t>
            </w:r>
          </w:p>
        </w:tc>
        <w:tc>
          <w:tcPr>
            <w:tcW w:type="dxa" w:w="5953"/>
            <w:vAlign w:val="center"/>
            <w:tcMar>
              <w:top w:w="120" w:type="dxa"/>
              <w:start w:w="120" w:type="dxa"/>
              <w:bottom w:w="120" w:type="dxa"/>
              <w:end w:w="120" w:type="dxa"/>
            </w:tcMar>
            <w:shd w:fill="FBF9F5"/>
          </w:tcPr>
          <w:p>
            <w:pPr>
              <w:spacing w:after="0"/>
            </w:pPr>
            <w:r>
              <w:t>Portable source of truth for website copy and page-level content decisions</w:t>
            </w:r>
          </w:p>
        </w:tc>
      </w:tr>
      <w:tr>
        <w:tc>
          <w:tcPr>
            <w:tcW w:type="dxa" w:w="2551"/>
            <w:vAlign w:val="center"/>
            <w:tcMar>
              <w:top w:w="120" w:type="dxa"/>
              <w:start w:w="120" w:type="dxa"/>
              <w:bottom w:w="120" w:type="dxa"/>
              <w:end w:w="120" w:type="dxa"/>
            </w:tcMar>
            <w:shd w:fill="F3EEE3"/>
          </w:tcPr>
          <w:p>
            <w:pPr>
              <w:spacing w:after="0"/>
            </w:pPr>
            <w:r>
              <w:rPr>
                <w:b/>
                <w:color w:val="13233B"/>
              </w:rPr>
              <w:t>Brand direction</w:t>
            </w:r>
          </w:p>
        </w:tc>
        <w:tc>
          <w:tcPr>
            <w:tcW w:type="dxa" w:w="5953"/>
            <w:vAlign w:val="center"/>
            <w:tcMar>
              <w:top w:w="120" w:type="dxa"/>
              <w:start w:w="120" w:type="dxa"/>
              <w:bottom w:w="120" w:type="dxa"/>
              <w:end w:w="120" w:type="dxa"/>
            </w:tcMar>
            <w:shd w:fill="FBF9F5"/>
          </w:tcPr>
          <w:p>
            <w:pPr>
              <w:spacing w:after="0"/>
            </w:pPr>
            <w:r>
              <w:t>Premium, system-led academic website for ambitious families</w:t>
            </w:r>
          </w:p>
        </w:tc>
      </w:tr>
    </w:tbl>
    <w:p>
      <w:pPr>
        <w:pStyle w:val="Callout"/>
      </w:pPr>
      <w:r>
        <w:t>This document combines the current approved website copy with the additional contact, legal, and tutor-profile text needed for implementation. Replace any operational placeholders only where marked. It also records the approved sitewide quick-access treatment for Classkick, Ayotree, and Tutor Portal so the build stays aligned.</w:t>
      </w:r>
    </w:p>
    <w:p>
      <w:r>
        <w:br w:type="page"/>
      </w:r>
    </w:p>
    <w:p>
      <w:pPr>
        <w:pStyle w:val="SectionHeading"/>
      </w:pPr>
      <w:r>
        <w:t>1. Homepage Copy</w:t>
      </w:r>
    </w:p>
    <w:p>
      <w:pPr>
        <w:pStyle w:val="SubHeading"/>
      </w:pPr>
      <w:r>
        <w:t>Hero</w:t>
      </w:r>
    </w:p>
    <w:p>
      <w:pPr>
        <w:spacing w:after="120"/>
      </w:pPr>
      <w:r>
        <w:t>Structured Maths tutoring and Science programmes that change academic trajectories.</w:t>
      </w:r>
    </w:p>
    <w:p>
      <w:pPr>
        <w:spacing w:after="120"/>
      </w:pPr>
      <w:r>
        <w:t>When a capable child is working hard but the results still do not reflect it, the problem is rarely effort alone. Families often need a clearer system.</w:t>
      </w:r>
    </w:p>
    <w:p>
      <w:pPr>
        <w:spacing w:after="120"/>
      </w:pPr>
      <w:r>
        <w:t>Jothi Learning delivers structured Maths tutoring for Years 7–11, targeted Chemistry and Physics support from Year 9, and a 10-month A-Level Maths crash course for high-ability students ready to move faster.</w:t>
      </w:r>
    </w:p>
    <w:p>
      <w:pPr>
        <w:pStyle w:val="SubHeading"/>
      </w:pPr>
      <w:r>
        <w:t>Primary CTA</w:t>
      </w:r>
    </w:p>
    <w:p>
      <w:pPr>
        <w:spacing w:after="120"/>
      </w:pPr>
      <w:r>
        <w:t>Start with a consultation</w:t>
      </w:r>
    </w:p>
    <w:p>
      <w:pPr>
        <w:pStyle w:val="SubHeading"/>
      </w:pPr>
      <w:r>
        <w:t>Secondary CTA</w:t>
      </w:r>
    </w:p>
    <w:p>
      <w:pPr>
        <w:spacing w:after="120"/>
      </w:pPr>
      <w:r>
        <w:t>Explore programmes</w:t>
      </w:r>
    </w:p>
    <w:p>
      <w:pPr>
        <w:pStyle w:val="SubHeading"/>
      </w:pPr>
      <w:r>
        <w:t>Trust strip</w:t>
      </w:r>
    </w:p>
    <w:p>
      <w:pPr>
        <w:spacing w:after="120"/>
      </w:pPr>
      <w:r>
        <w:t>For families who want more than patchy tutoring. Structured teaching. Regular testing. Visible progress. Clear parent updates.</w:t>
      </w:r>
    </w:p>
    <w:p>
      <w:pPr>
        <w:pStyle w:val="SubHeading"/>
      </w:pPr>
      <w:r>
        <w:t>Programmes overview block</w:t>
      </w:r>
    </w:p>
    <w:p>
      <w:pPr>
        <w:pStyle w:val="MinorHeading"/>
      </w:pPr>
      <w:r>
        <w:t>Years 7–11 Maths Programmes</w:t>
      </w:r>
    </w:p>
    <w:p>
      <w:pPr>
        <w:spacing w:after="120"/>
      </w:pPr>
      <w:r>
        <w:t>Structured Maths tutoring designed to strengthen understanding, build confidence, and improve results over time.</w:t>
      </w:r>
    </w:p>
    <w:p>
      <w:pPr>
        <w:pStyle w:val="MinorHeading"/>
      </w:pPr>
      <w:r>
        <w:t>GCSE Transformation Programme</w:t>
      </w:r>
    </w:p>
    <w:p>
      <w:pPr>
        <w:spacing w:after="120"/>
      </w:pPr>
      <w:r>
        <w:t>For students who are capable but inconsistent, and need better structure, stronger habits, and closer academic tracking.</w:t>
      </w:r>
    </w:p>
    <w:p>
      <w:pPr>
        <w:pStyle w:val="MinorHeading"/>
      </w:pPr>
      <w:r>
        <w:t>GCSE High-Achiever Pathway</w:t>
      </w:r>
    </w:p>
    <w:p>
      <w:pPr>
        <w:spacing w:after="120"/>
      </w:pPr>
      <w:r>
        <w:t>For ambitious students aiming for top sets, Grade 8–9 outcomes, and stronger mathematical thinking.</w:t>
      </w:r>
    </w:p>
    <w:p>
      <w:pPr>
        <w:pStyle w:val="MinorHeading"/>
      </w:pPr>
      <w:r>
        <w:t>10-month A-Level Maths crash course</w:t>
      </w:r>
    </w:p>
    <w:p>
      <w:pPr>
        <w:spacing w:after="120"/>
      </w:pPr>
      <w:r>
        <w:t>A fast, demanding pathway for high-ability students ready to cover the full A-Level Maths specification with discipline and depth.</w:t>
      </w:r>
    </w:p>
    <w:p>
      <w:pPr>
        <w:pStyle w:val="MinorHeading"/>
      </w:pPr>
      <w:r>
        <w:t>Year 9–11 Chemistry and Physics</w:t>
      </w:r>
    </w:p>
    <w:p>
      <w:pPr>
        <w:spacing w:after="120"/>
      </w:pPr>
      <w:r>
        <w:t>Focused support for students who need clear teaching, regular assessment, and better exam preparation.</w:t>
      </w:r>
    </w:p>
    <w:p>
      <w:pPr>
        <w:pStyle w:val="SubHeading"/>
      </w:pPr>
      <w:r>
        <w:t>Why Jothi works</w:t>
      </w:r>
    </w:p>
    <w:p>
      <w:pPr>
        <w:spacing w:after="120"/>
      </w:pPr>
      <w:r>
        <w:t>Most tutoring gives students extra lessons. Jothi gives families a system.</w:t>
      </w:r>
    </w:p>
    <w:p>
      <w:pPr>
        <w:spacing w:after="120"/>
      </w:pPr>
      <w:r>
        <w:t>Jothi Trifecta — strategy, mindset, and environment working together to support progress.</w:t>
      </w:r>
    </w:p>
    <w:p>
      <w:pPr>
        <w:spacing w:after="120"/>
      </w:pPr>
      <w:r>
        <w:t>4T Engine — teach, test, track, and tune: the cycle behind every student’s programme.</w:t>
      </w:r>
    </w:p>
    <w:p>
      <w:pPr>
        <w:pStyle w:val="SubHeading"/>
      </w:pPr>
      <w:r>
        <w:t>Tutor quality</w:t>
      </w:r>
    </w:p>
    <w:p>
      <w:pPr>
        <w:spacing w:after="120"/>
      </w:pPr>
      <w:r>
        <w:t>Our tutors are not simply matched and left alone. They work within a structured teaching model shaped by training, mentoring, and quality oversight.</w:t>
      </w:r>
    </w:p>
    <w:p>
      <w:pPr>
        <w:pStyle w:val="SubHeading"/>
      </w:pPr>
      <w:r>
        <w:t>Parent problem framing</w:t>
      </w:r>
    </w:p>
    <w:p>
      <w:pPr>
        <w:spacing w:after="120"/>
      </w:pPr>
      <w:r>
        <w:t>You may be here because your child is trying, but the marks are not moving. You may not have the time to manage everything yourself. You may want a clearer path through the UK system. That is exactly where structure matters.</w:t>
      </w:r>
    </w:p>
    <w:p>
      <w:pPr>
        <w:pStyle w:val="SubHeading"/>
      </w:pPr>
      <w:r>
        <w:t>Results / proof block</w:t>
      </w:r>
    </w:p>
    <w:p>
      <w:pPr>
        <w:spacing w:after="120"/>
      </w:pPr>
      <w:r>
        <w:t>Families stay with Jothi because they can see what is being taught, how progress is being checked, and where support is needed next.</w:t>
      </w:r>
    </w:p>
    <w:p>
      <w:pPr>
        <w:pStyle w:val="SubHeading"/>
      </w:pPr>
      <w:r>
        <w:t>Pricing signal</w:t>
      </w:r>
    </w:p>
    <w:p>
      <w:pPr>
        <w:spacing w:after="120"/>
      </w:pPr>
      <w:r>
        <w:t>Programmes are priced after consultation, based on year group, subject mix, and level of support required.</w:t>
      </w:r>
    </w:p>
    <w:p>
      <w:pPr>
        <w:pStyle w:val="SubHeading"/>
      </w:pPr>
      <w:r>
        <w:t>Final CTA</w:t>
      </w:r>
    </w:p>
    <w:p>
      <w:pPr>
        <w:spacing w:after="120"/>
      </w:pPr>
      <w:r>
        <w:t>Ready to replace guesswork with structure? Start with a consultation and see which Jothi programme fits your child’s current level, goals, and academic pathway.</w:t>
      </w:r>
    </w:p>
    <w:p>
      <w:pPr>
        <w:pStyle w:val="SectionHeading"/>
      </w:pPr>
      <w:r>
        <w:t>2. Programmes Page Copy</w:t>
      </w:r>
    </w:p>
    <w:p>
      <w:pPr>
        <w:pStyle w:val="SubHeading"/>
      </w:pPr>
      <w:r>
        <w:t>Page hero</w:t>
      </w:r>
    </w:p>
    <w:p>
      <w:pPr>
        <w:spacing w:after="120"/>
      </w:pPr>
      <w:r>
        <w:t>Programmes built for progress, not patchy tutoring.</w:t>
      </w:r>
    </w:p>
    <w:p>
      <w:pPr>
        <w:spacing w:after="120"/>
      </w:pPr>
      <w:r>
        <w:t>Jothi Learning delivers structured Maths tutoring and Science support for families who want clear teaching, regular assessment, and visible academic progress.</w:t>
      </w:r>
    </w:p>
    <w:p>
      <w:pPr>
        <w:spacing w:after="120"/>
      </w:pPr>
      <w:r>
        <w:t>Each programme is designed around the same principle: effort alone is not enough. Students need the right sequence, the right teaching, and the right level of challenge.</w:t>
      </w:r>
    </w:p>
    <w:p>
      <w:pPr>
        <w:pStyle w:val="SubHeading"/>
      </w:pPr>
      <w:r>
        <w:t>CTA</w:t>
      </w:r>
    </w:p>
    <w:p>
      <w:pPr>
        <w:spacing w:after="120"/>
      </w:pPr>
      <w:r>
        <w:t>Start with a consultation</w:t>
      </w:r>
    </w:p>
    <w:p>
      <w:pPr>
        <w:pStyle w:val="SubHeading"/>
      </w:pPr>
      <w:r>
        <w:t>Intro section</w:t>
      </w:r>
    </w:p>
    <w:p>
      <w:pPr>
        <w:spacing w:after="120"/>
      </w:pPr>
      <w:r>
        <w:t>Jothi Learning supports students through structured programmes, not ad hoc hourly tuition.</w:t>
      </w:r>
    </w:p>
    <w:p>
      <w:pPr>
        <w:spacing w:after="120"/>
      </w:pPr>
      <w:r>
        <w:t>That means clear curriculum focus, regular testing and review, tracked progress over time, and teaching designed to build confidence, accuracy, and independent thinking.</w:t>
      </w:r>
    </w:p>
    <w:p>
      <w:pPr>
        <w:spacing w:after="120"/>
      </w:pPr>
      <w:r>
        <w:t>Programmes are priced after consultation, based on year group, subject mix, and level of support required.</w:t>
      </w:r>
    </w:p>
    <w:p>
      <w:pPr>
        <w:pStyle w:val="SubHeading"/>
      </w:pPr>
      <w:r>
        <w:t>Years 7–11 Maths Programmes</w:t>
      </w:r>
    </w:p>
    <w:p>
      <w:pPr>
        <w:spacing w:after="120"/>
      </w:pPr>
      <w:r>
        <w:t>Structured Maths tutoring from foundation-building to top-grade ambition.</w:t>
      </w:r>
    </w:p>
    <w:p>
      <w:pPr>
        <w:spacing w:after="120"/>
      </w:pPr>
      <w:r>
        <w:t>Our Maths programmes support students across Years 7 to 11, from those who need stronger foundations to those aiming for top sets, Grade 8–9 outcomes, or accelerated progress.</w:t>
      </w:r>
    </w:p>
    <w:p>
      <w:pPr>
        <w:spacing w:after="120"/>
      </w:pPr>
      <w:r>
        <w:t>This is suitable for families who want better mathematical understanding, stronger problem-solving habits, consistent teaching and accountability, and support that builds over time, not quick fixes.</w:t>
      </w:r>
    </w:p>
    <w:p>
      <w:pPr>
        <w:spacing w:after="120"/>
      </w:pPr>
      <w:r>
        <w:t>Best for: students who need a clearer system for long-term progress.</w:t>
      </w:r>
    </w:p>
    <w:p>
      <w:pPr>
        <w:pStyle w:val="SubHeading"/>
      </w:pPr>
      <w:r>
        <w:t>GCSE Transformation Programme</w:t>
      </w:r>
    </w:p>
    <w:p>
      <w:pPr>
        <w:spacing w:after="120"/>
      </w:pPr>
      <w:r>
        <w:t>For students who are capable, but not yet producing the results they should.</w:t>
      </w:r>
    </w:p>
    <w:p>
      <w:pPr>
        <w:spacing w:after="120"/>
      </w:pPr>
      <w:r>
        <w:t>Some students work hard but still produce inconsistent marks. Others understand topics in lessons but cannot apply them properly under test conditions. The GCSE Transformation Programme is designed to change that.</w:t>
      </w:r>
    </w:p>
    <w:p>
      <w:pPr>
        <w:spacing w:after="120"/>
      </w:pPr>
      <w:r>
        <w:t>This programme focuses on fixing gaps in understanding, improving exam technique, building stronger routines and consistency, and turning effort into measurable progress.</w:t>
      </w:r>
    </w:p>
    <w:p>
      <w:pPr>
        <w:spacing w:after="120"/>
      </w:pPr>
      <w:r>
        <w:t>Best for: students whose results do not yet reflect their potential.</w:t>
      </w:r>
    </w:p>
    <w:p>
      <w:pPr>
        <w:pStyle w:val="SubHeading"/>
      </w:pPr>
      <w:r>
        <w:t>GCSE High-Achiever Pathway</w:t>
      </w:r>
    </w:p>
    <w:p>
      <w:pPr>
        <w:spacing w:after="120"/>
      </w:pPr>
      <w:r>
        <w:t>For ambitious students aiming for top grades and stronger mathematical thinking.</w:t>
      </w:r>
    </w:p>
    <w:p>
      <w:pPr>
        <w:spacing w:after="120"/>
      </w:pPr>
      <w:r>
        <w:t>This pathway is for students already working at a good level and ready for greater challenge, sharper reasoning, and more demanding preparation. The goal is not just to keep up. The goal is to move towards Grade 8–9 performance with clarity and discipline.</w:t>
      </w:r>
    </w:p>
    <w:p>
      <w:pPr>
        <w:spacing w:after="120"/>
      </w:pPr>
      <w:r>
        <w:t>This pathway includes higher challenge work, deeper reasoning, tighter performance tracking, and preparation aligned to ambitious academic goals.</w:t>
      </w:r>
    </w:p>
    <w:p>
      <w:pPr>
        <w:spacing w:after="120"/>
      </w:pPr>
      <w:r>
        <w:t>Best for: students aiming for top sets, Grade 8–9, and stronger academic stretch.</w:t>
      </w:r>
    </w:p>
    <w:p>
      <w:pPr>
        <w:pStyle w:val="SubHeading"/>
      </w:pPr>
      <w:r>
        <w:t>10-month A-Level Maths Crash Course</w:t>
      </w:r>
    </w:p>
    <w:p>
      <w:pPr>
        <w:spacing w:after="120"/>
      </w:pPr>
      <w:r>
        <w:t>A fast, demanding pathway for high-ability students ready to move ahead.</w:t>
      </w:r>
    </w:p>
    <w:p>
      <w:pPr>
        <w:spacing w:after="120"/>
      </w:pPr>
      <w:r>
        <w:t>This flagship programme is designed for students who are ready to cover the full A-Level Maths specification in 10 months through disciplined teaching and serious commitment. It is not a casual extension course. It is a high-expectation academic pathway for students who can work quickly and think deeply.</w:t>
      </w:r>
    </w:p>
    <w:p>
      <w:pPr>
        <w:spacing w:after="120"/>
      </w:pPr>
      <w:r>
        <w:t>This programme is designed to offer accelerated progression, structured coverage of the full specification, close academic guidance, and a serious stretch beyond the usual school pace.</w:t>
      </w:r>
    </w:p>
    <w:p>
      <w:pPr>
        <w:spacing w:after="120"/>
      </w:pPr>
      <w:r>
        <w:t>Best for: high-ability students ready for accelerated Maths progression.</w:t>
      </w:r>
    </w:p>
    <w:p>
      <w:pPr>
        <w:pStyle w:val="SubHeading"/>
      </w:pPr>
      <w:r>
        <w:t>Year 9–11 Chemistry and Physics</w:t>
      </w:r>
    </w:p>
    <w:p>
      <w:pPr>
        <w:spacing w:after="120"/>
      </w:pPr>
      <w:r>
        <w:t>Structured Science support for students who need clarity, rigour, and exam readiness.</w:t>
      </w:r>
    </w:p>
    <w:p>
      <w:pPr>
        <w:spacing w:after="120"/>
      </w:pPr>
      <w:r>
        <w:t>Jothi Learning also supports students in Chemistry and Physics from Year 9 to Year 11, especially those in ambitious school environments who need strong conceptual teaching and regular assessment.</w:t>
      </w:r>
    </w:p>
    <w:p>
      <w:pPr>
        <w:spacing w:after="120"/>
      </w:pPr>
      <w:r>
        <w:t>The focus is on clear topic teaching, disciplined recall and retrieval, stronger written and calculation-based responses, and better performance in tests and exams.</w:t>
      </w:r>
    </w:p>
    <w:p>
      <w:pPr>
        <w:spacing w:after="120"/>
      </w:pPr>
      <w:r>
        <w:t>Best for: students who need structured support in Chemistry or Physics alongside Maths.</w:t>
      </w:r>
    </w:p>
    <w:p>
      <w:pPr>
        <w:pStyle w:val="SubHeading"/>
      </w:pPr>
      <w:r>
        <w:t>UKMT Stretch Pathway</w:t>
      </w:r>
    </w:p>
    <w:p>
      <w:pPr>
        <w:spacing w:after="120"/>
      </w:pPr>
      <w:r>
        <w:t>Support for ambitious younger students, including those aiming for UKMT success from Year 7.</w:t>
      </w:r>
    </w:p>
    <w:p>
      <w:pPr>
        <w:spacing w:after="120"/>
      </w:pPr>
      <w:r>
        <w:t>For students with strong mathematical curiosity and higher-than-average ability, Jothi offers stretch-focused support designed to deepen thinking and prepare students for richer mathematical challenge.</w:t>
      </w:r>
    </w:p>
    <w:p>
      <w:pPr>
        <w:spacing w:after="120"/>
      </w:pPr>
      <w:r>
        <w:t>This pathway supports stronger reasoning, non-routine problem solving, and mathematical confidence beyond the standard classroom level.</w:t>
      </w:r>
    </w:p>
    <w:p>
      <w:pPr>
        <w:spacing w:after="120"/>
      </w:pPr>
      <w:r>
        <w:t>Best for: ambitious students who need challenge as well as curriculum progress.</w:t>
      </w:r>
    </w:p>
    <w:p>
      <w:pPr>
        <w:pStyle w:val="SubHeading"/>
      </w:pPr>
      <w:r>
        <w:t>How Jothi programmes work</w:t>
      </w:r>
    </w:p>
    <w:p>
      <w:pPr>
        <w:spacing w:after="120"/>
      </w:pPr>
      <w:r>
        <w:t>Every programme is shaped by the same system-led approach.</w:t>
      </w:r>
    </w:p>
    <w:p>
      <w:pPr>
        <w:spacing w:after="120"/>
      </w:pPr>
      <w:r>
        <w:t>Jothi Trifecta — strategy, mindset, and environment working together to support progress.</w:t>
      </w:r>
    </w:p>
    <w:p>
      <w:pPr>
        <w:spacing w:after="120"/>
      </w:pPr>
      <w:r>
        <w:t>4T Engine — teach, test, track, and tune: the cycle behind every student’s programme.</w:t>
      </w:r>
    </w:p>
    <w:p>
      <w:pPr>
        <w:spacing w:after="120"/>
      </w:pPr>
      <w:r>
        <w:t>This means students are not simply given lessons. They are guided through a structure designed to make progress visible and sustained.</w:t>
      </w:r>
    </w:p>
    <w:p>
      <w:pPr>
        <w:pStyle w:val="SubHeading"/>
      </w:pPr>
      <w:r>
        <w:t>Who this is for</w:t>
      </w:r>
    </w:p>
    <w:p>
      <w:pPr>
        <w:spacing w:after="120"/>
      </w:pPr>
      <w:r>
        <w:t>Jothi programmes are well suited to families who feel their child is capable but underperforming, want more structure than ordinary tutoring provides, do not have the time to manage everything themselves, and want a clearer path through key academic years.</w:t>
      </w:r>
    </w:p>
    <w:p>
      <w:pPr>
        <w:pStyle w:val="SubHeading"/>
      </w:pPr>
      <w:r>
        <w:t>Pricing section</w:t>
      </w:r>
    </w:p>
    <w:p>
      <w:pPr>
        <w:spacing w:after="120"/>
      </w:pPr>
      <w:r>
        <w:t>Pricing is discussed after consultation. Programme recommendations and pricing depend on year group, subject combination, current level, and level of support required. This keeps the recommendation appropriate to the student, rather than forcing every family into the same model.</w:t>
      </w:r>
    </w:p>
    <w:p>
      <w:pPr>
        <w:pStyle w:val="SubHeading"/>
      </w:pPr>
      <w:r>
        <w:t>Final CTA</w:t>
      </w:r>
    </w:p>
    <w:p>
      <w:pPr>
        <w:spacing w:after="120"/>
      </w:pPr>
      <w:r>
        <w:t>Not sure which programme fits your child best? Start with a consultation. We will look at your child’s year group, current level, academic goals, and the kind of support they need.</w:t>
      </w:r>
    </w:p>
    <w:p>
      <w:pPr>
        <w:pStyle w:val="SectionHeading"/>
      </w:pPr>
      <w:r>
        <w:t>3. About Page Copy</w:t>
      </w:r>
    </w:p>
    <w:p>
      <w:pPr>
        <w:pStyle w:val="SubHeading"/>
      </w:pPr>
      <w:r>
        <w:t>Page hero</w:t>
      </w:r>
    </w:p>
    <w:p>
      <w:pPr>
        <w:spacing w:after="120"/>
      </w:pPr>
      <w:r>
        <w:t>A structured academic system for families who want serious progress.</w:t>
      </w:r>
    </w:p>
    <w:p>
      <w:pPr>
        <w:spacing w:after="120"/>
      </w:pPr>
      <w:r>
        <w:t>Jothi Learning was built for families who know their child is capable, but want a clearer, more reliable path from effort to results.</w:t>
      </w:r>
    </w:p>
    <w:p>
      <w:pPr>
        <w:spacing w:after="120"/>
      </w:pPr>
      <w:r>
        <w:t>We do not believe strong outcomes come from guesswork, patchy tutoring, or last-minute intervention. We believe progress becomes more predictable when students are taught within a system that combines clear teaching, regular assessment, and close academic oversight.</w:t>
      </w:r>
    </w:p>
    <w:p>
      <w:pPr>
        <w:pStyle w:val="SubHeading"/>
      </w:pPr>
      <w:r>
        <w:t>Who Jothi is for</w:t>
      </w:r>
    </w:p>
    <w:p>
      <w:pPr>
        <w:spacing w:after="120"/>
      </w:pPr>
      <w:r>
        <w:t>Jothi Learning works with ambitious families who want more than extra lessons. Many parents come to us because their child is working hard but underperforming, they want stronger Maths and Science outcomes, they do not have time to manage everything themselves, they want a clearer route through the UK academic system, and they are looking for structure, not just subject help. Our role is to provide that structure.</w:t>
      </w:r>
    </w:p>
    <w:p>
      <w:pPr>
        <w:pStyle w:val="SubHeading"/>
      </w:pPr>
      <w:r>
        <w:t>What makes Jothi different</w:t>
      </w:r>
    </w:p>
    <w:p>
      <w:pPr>
        <w:spacing w:after="120"/>
      </w:pPr>
      <w:r>
        <w:t>Most tutoring adds more teaching time. Jothi Learning goes further by building a structured academic system around the student.</w:t>
      </w:r>
    </w:p>
    <w:p>
      <w:pPr>
        <w:spacing w:after="120"/>
      </w:pPr>
      <w:r>
        <w:t>That system is shaped by the Jothi Trifecta — strategy, mindset, and environment working together to support progress — and the 4T Engine — teach, test, track, and tune: the cycle behind every student’s programme.</w:t>
      </w:r>
    </w:p>
    <w:p>
      <w:pPr>
        <w:spacing w:after="120"/>
      </w:pPr>
      <w:r>
        <w:t>This means students are not simply attending lessons. They are moving through a programme designed to make progress visible, measured, and sustained over time.</w:t>
      </w:r>
    </w:p>
    <w:p>
      <w:pPr>
        <w:pStyle w:val="SubHeading"/>
      </w:pPr>
      <w:r>
        <w:t>Our approach</w:t>
      </w:r>
    </w:p>
    <w:p>
      <w:pPr>
        <w:spacing w:after="120"/>
      </w:pPr>
      <w:r>
        <w:t>Jothi Learning focuses on structured Maths tutoring for Years 7–11, targeted Chemistry and Physics support from Year 9, and accelerated pathways for high-ability students.</w:t>
      </w:r>
    </w:p>
    <w:p>
      <w:pPr>
        <w:spacing w:after="120"/>
      </w:pPr>
      <w:r>
        <w:t>Our programmes are built around clear curriculum sequencing, regular testing and review, visible progress tracking, close attention to confidence, habits, and academic thinking, and parent visibility built into the process.</w:t>
      </w:r>
    </w:p>
    <w:p>
      <w:pPr>
        <w:spacing w:after="120"/>
      </w:pPr>
      <w:r>
        <w:t>The aim is simple: to help capable students make stronger, more consistent academic progress without unnecessary confusion or wasted effort.</w:t>
      </w:r>
    </w:p>
    <w:p>
      <w:pPr>
        <w:pStyle w:val="SubHeading"/>
      </w:pPr>
      <w:r>
        <w:t>Tutor quality and development</w:t>
      </w:r>
    </w:p>
    <w:p>
      <w:pPr>
        <w:spacing w:after="120"/>
      </w:pPr>
      <w:r>
        <w:t>A strong academic programme depends on more than a good first impression. At Jothi Learning, tutors work within a structured teaching model shaped by training, mentoring, and quality oversight. We take tutor development seriously because teaching quality should not be left to chance.</w:t>
      </w:r>
    </w:p>
    <w:p>
      <w:pPr>
        <w:spacing w:after="120"/>
      </w:pPr>
      <w:r>
        <w:t>This is one of the reasons families choose Jothi. They are not relying on a random marketplace match. They are placing their child into a system where teaching quality, consistency, and accountability matter.</w:t>
      </w:r>
    </w:p>
    <w:p>
      <w:pPr>
        <w:pStyle w:val="SubHeading"/>
      </w:pPr>
      <w:r>
        <w:t>Our teaching team intro</w:t>
      </w:r>
    </w:p>
    <w:p>
      <w:pPr>
        <w:spacing w:after="120"/>
      </w:pPr>
      <w:r>
        <w:t>Our teaching team combines subject strength, structured delivery, and a shared commitment to helping students progress with clarity and confidence. Use this section with clean profile cards: photo, name, subject focus, qualification highlight, and one short credibility line.</w:t>
      </w:r>
    </w:p>
    <w:p>
      <w:pPr>
        <w:pStyle w:val="SubHeading"/>
      </w:pPr>
      <w:r>
        <w:t>Founder section</w:t>
      </w:r>
    </w:p>
    <w:p>
      <w:pPr>
        <w:spacing w:after="120"/>
      </w:pPr>
      <w:r>
        <w:t>Founded by a teacher who believes progress should be structured, not left to chance.</w:t>
      </w:r>
    </w:p>
    <w:p>
      <w:pPr>
        <w:spacing w:after="120"/>
      </w:pPr>
      <w:r>
        <w:t>Jothi Learning was founded by Prakash Micheal, whose work has focused on building a more disciplined and reliable approach to academic support. Rather than treating tutoring as isolated lessons, Jothi was built around a wider teaching system — one that brings together curriculum planning, regular assessment, progress tracking, and tutor development.</w:t>
      </w:r>
    </w:p>
    <w:p>
      <w:pPr>
        <w:spacing w:after="120"/>
      </w:pPr>
      <w:r>
        <w:t>Prakash remains part of the teaching team, while the wider Jothi model ensures that strong teaching is supported by structure, not dependent on one person alone.</w:t>
      </w:r>
    </w:p>
    <w:p>
      <w:pPr>
        <w:pStyle w:val="SubHeading"/>
      </w:pPr>
      <w:r>
        <w:t>Why families stay</w:t>
      </w:r>
    </w:p>
    <w:p>
      <w:pPr>
        <w:spacing w:after="120"/>
      </w:pPr>
      <w:r>
        <w:t>Families stay with Jothi because they can see what is being taught, how progress is being checked, and where support is needed next. They value clarity, consistency, stronger communication, more visible academic direction, and a system that turns effort into progress.</w:t>
      </w:r>
    </w:p>
    <w:p>
      <w:pPr>
        <w:pStyle w:val="SubHeading"/>
      </w:pPr>
      <w:r>
        <w:t>Final CTA</w:t>
      </w:r>
    </w:p>
    <w:p>
      <w:pPr>
        <w:spacing w:after="120"/>
      </w:pPr>
      <w:r>
        <w:t>Looking for a more structured path for your child? Start with a consultation to discuss your child’s current level, academic goals, and the type of support that would suit them best.</w:t>
      </w:r>
    </w:p>
    <w:p>
      <w:pPr>
        <w:pStyle w:val="SectionHeading"/>
      </w:pPr>
      <w:r>
        <w:t>4. Results and Reviews Page Copy</w:t>
      </w:r>
    </w:p>
    <w:p>
      <w:pPr>
        <w:pStyle w:val="SubHeading"/>
      </w:pPr>
      <w:r>
        <w:t>Page hero</w:t>
      </w:r>
    </w:p>
    <w:p>
      <w:pPr>
        <w:spacing w:after="120"/>
      </w:pPr>
      <w:r>
        <w:t>Proof that structure matters.</w:t>
      </w:r>
    </w:p>
    <w:p>
      <w:pPr>
        <w:spacing w:after="120"/>
      </w:pPr>
      <w:r>
        <w:t>Families choose Jothi because they do not want more noise, more guesswork, or more fragmented support. They want clear teaching, regular testing, visible progress, and a stronger sense of direction.</w:t>
      </w:r>
    </w:p>
    <w:p>
      <w:pPr>
        <w:spacing w:after="120"/>
      </w:pPr>
      <w:r>
        <w:t>This page should show the proof behind that promise: parent reviews, student outcomes, and the system that makes progress visible.</w:t>
      </w:r>
    </w:p>
    <w:p>
      <w:pPr>
        <w:pStyle w:val="SubHeading"/>
      </w:pPr>
      <w:r>
        <w:t>Intro</w:t>
      </w:r>
    </w:p>
    <w:p>
      <w:pPr>
        <w:spacing w:after="120"/>
      </w:pPr>
      <w:r>
        <w:t>Results do not come from one good lesson. They come from sustained teaching, the right level of challenge, and regular checks on what the student can actually do. That is why Jothi puts so much weight on teaching quality, assessment, and parent visibility.</w:t>
      </w:r>
    </w:p>
    <w:p>
      <w:pPr>
        <w:pStyle w:val="SubHeading"/>
      </w:pPr>
      <w:r>
        <w:t>Review highlights section</w:t>
      </w:r>
    </w:p>
    <w:p>
      <w:pPr>
        <w:spacing w:after="120"/>
      </w:pPr>
      <w:r>
        <w:t>Use short, polished review summaries on the public page rather than long blocks of testimonial text. Keep the tone calm and specific.</w:t>
      </w:r>
    </w:p>
    <w:p>
      <w:pPr>
        <w:spacing w:after="120"/>
      </w:pPr>
      <w:r>
        <w:t>Suggested review summary 1: Parents describe Jothi as a steady source of support that helps students build stronger academic foundations over time.</w:t>
      </w:r>
    </w:p>
    <w:p>
      <w:pPr>
        <w:spacing w:after="120"/>
      </w:pPr>
      <w:r>
        <w:t>Suggested review summary 2: Families highlight the structured Maths and Science preparation, regular assessments, and clear feedback that improve confidence and exam readiness.</w:t>
      </w:r>
    </w:p>
    <w:p>
      <w:pPr>
        <w:spacing w:after="120"/>
      </w:pPr>
      <w:r>
        <w:t>Suggested review summary 3: Parents value the professionalism of the team, the clarity of communication, and the sense that progress is being actively managed rather than left to chance.</w:t>
      </w:r>
    </w:p>
    <w:p>
      <w:pPr>
        <w:pStyle w:val="SubHeading"/>
      </w:pPr>
      <w:r>
        <w:t>Outcome framing</w:t>
      </w:r>
    </w:p>
    <w:p>
      <w:pPr>
        <w:spacing w:after="120"/>
      </w:pPr>
      <w:r>
        <w:t>Avoid inflated promises and keep outcomes grounded. The public site should speak about stronger progress, improved consistency, clearer exam readiness, and support for ambitious goals such as Grade 8–9 performance, accelerated Maths pathways, and UKMT stretch. Use specific student stories only where there is clear permission and the detail is accurate.</w:t>
      </w:r>
    </w:p>
    <w:p>
      <w:pPr>
        <w:pStyle w:val="SubHeading"/>
      </w:pPr>
      <w:r>
        <w:t>System proof section</w:t>
      </w:r>
    </w:p>
    <w:p>
      <w:pPr>
        <w:spacing w:after="120"/>
      </w:pPr>
      <w:r>
        <w:t>This section should visually show that Jothi operates through a system. Suitable website proof includes: a simplified curriculum roadmap teaser, a teach–test–track process graphic, a sample progress-check rhythm, and a short explanation of how parent updates fit into the model.</w:t>
      </w:r>
    </w:p>
    <w:p>
      <w:pPr>
        <w:spacing w:after="120"/>
      </w:pPr>
      <w:r>
        <w:t>Do not publish the raw operating spreadsheet. Translate it into a cleaner parent-facing visual.</w:t>
      </w:r>
    </w:p>
    <w:p>
      <w:pPr>
        <w:pStyle w:val="SubHeading"/>
      </w:pPr>
      <w:r>
        <w:t>Suggested section heading</w:t>
      </w:r>
    </w:p>
    <w:p>
      <w:pPr>
        <w:spacing w:after="120"/>
      </w:pPr>
      <w:r>
        <w:t>How progress becomes visible</w:t>
      </w:r>
    </w:p>
    <w:p>
      <w:pPr>
        <w:pStyle w:val="SubHeading"/>
      </w:pPr>
      <w:r>
        <w:t>Suggested copy for system proof block</w:t>
      </w:r>
    </w:p>
    <w:p>
      <w:pPr>
        <w:spacing w:after="120"/>
      </w:pPr>
      <w:r>
        <w:t>At Jothi, progress is not left to vague impressions. Students move through clear teaching sequences, regular topic tests, and structured review points that help both the tutor and the parent see where confidence is growing and where support is still needed.</w:t>
      </w:r>
    </w:p>
    <w:p>
      <w:pPr>
        <w:pStyle w:val="SubHeading"/>
      </w:pPr>
      <w:r>
        <w:t>Review platform CTA</w:t>
      </w:r>
    </w:p>
    <w:p>
      <w:pPr>
        <w:spacing w:after="120"/>
      </w:pPr>
      <w:r>
        <w:t>Read more parent reviews</w:t>
      </w:r>
    </w:p>
    <w:p>
      <w:pPr>
        <w:pStyle w:val="SubHeading"/>
      </w:pPr>
      <w:r>
        <w:t>Final CTA</w:t>
      </w:r>
    </w:p>
    <w:p>
      <w:pPr>
        <w:spacing w:after="120"/>
      </w:pPr>
      <w:r>
        <w:t>If you want more than occasional tuition and would prefer a clearer academic system around your child, start with a consultation.</w:t>
      </w:r>
    </w:p>
    <w:p>
      <w:pPr>
        <w:pStyle w:val="SectionHeading"/>
      </w:pPr>
      <w:r>
        <w:t>5. Contact Page Copy</w:t>
      </w:r>
    </w:p>
    <w:p>
      <w:pPr>
        <w:pStyle w:val="SubHeading"/>
      </w:pPr>
      <w:r>
        <w:t>Page hero</w:t>
      </w:r>
    </w:p>
    <w:p>
      <w:pPr>
        <w:spacing w:after="120"/>
      </w:pPr>
      <w:r>
        <w:t>Start with a consultation.</w:t>
      </w:r>
    </w:p>
    <w:p>
      <w:pPr>
        <w:spacing w:after="120"/>
      </w:pPr>
      <w:r>
        <w:t>If your child is capable but not yet producing the results they should, the next step is not guesswork. It is clarity. A short consultation helps us understand your child’s current stage, goals, and the type of support that would suit them best.</w:t>
      </w:r>
    </w:p>
    <w:p>
      <w:pPr>
        <w:pStyle w:val="SubHeading"/>
      </w:pPr>
      <w:r>
        <w:t>Contact block</w:t>
      </w:r>
    </w:p>
    <w:p>
      <w:pPr>
        <w:spacing w:after="120"/>
      </w:pPr>
      <w:r>
        <w:t>Admissions email: admissions@jothi.uk</w:t>
        <w:br/>
        <w:t>Phone / WhatsApp: +44 7985 588975</w:t>
        <w:br/>
        <w:t>Delivery model: Primarily online</w:t>
        <w:br/>
        <w:t>Core focus: Maths Years 7–11, Chemistry and Physics Years 9–11, accelerated Maths pathways for high-ability students</w:t>
      </w:r>
    </w:p>
    <w:p>
      <w:pPr>
        <w:pStyle w:val="SubHeading"/>
      </w:pPr>
      <w:r>
        <w:t>What to expect</w:t>
      </w:r>
    </w:p>
    <w:p>
      <w:pPr>
        <w:spacing w:after="120"/>
      </w:pPr>
      <w:r>
        <w:t>A consultation is designed to understand the student properly before any recommendation is made. That may include current year group, subject needs, current performance level, academic aims, and whether the student needs foundation support, transformation support, or a higher-challenge pathway.</w:t>
      </w:r>
    </w:p>
    <w:p>
      <w:pPr>
        <w:pStyle w:val="SubHeading"/>
      </w:pPr>
      <w:r>
        <w:t>Suggested enquiry form heading</w:t>
      </w:r>
    </w:p>
    <w:p>
      <w:pPr>
        <w:spacing w:after="120"/>
      </w:pPr>
      <w:r>
        <w:t>Tell us about your child</w:t>
      </w:r>
    </w:p>
    <w:p>
      <w:pPr>
        <w:pStyle w:val="SubHeading"/>
      </w:pPr>
      <w:r>
        <w:t>Suggested form intro</w:t>
      </w:r>
    </w:p>
    <w:p>
      <w:pPr>
        <w:spacing w:after="120"/>
      </w:pPr>
      <w:r>
        <w:t>Complete the form below and we will review the details before recommending the most appropriate next step.</w:t>
      </w:r>
    </w:p>
    <w:p>
      <w:pPr>
        <w:pStyle w:val="SubHeading"/>
      </w:pPr>
      <w:r>
        <w:t>Suggested form fields</w:t>
      </w:r>
    </w:p>
    <w:p>
      <w:pPr>
        <w:spacing w:after="40"/>
        <w:ind w:left="283"/>
      </w:pPr>
      <w:r>
        <w:rPr>
          <w:b/>
        </w:rPr>
        <w:t xml:space="preserve">• </w:t>
      </w:r>
      <w:r>
        <w:t>Parent or guardian name</w:t>
      </w:r>
    </w:p>
    <w:p>
      <w:pPr>
        <w:spacing w:after="40"/>
        <w:ind w:left="283"/>
      </w:pPr>
      <w:r>
        <w:rPr>
          <w:b/>
        </w:rPr>
        <w:t xml:space="preserve">• </w:t>
      </w:r>
      <w:r>
        <w:t>Email address</w:t>
      </w:r>
    </w:p>
    <w:p>
      <w:pPr>
        <w:spacing w:after="40"/>
        <w:ind w:left="283"/>
      </w:pPr>
      <w:r>
        <w:rPr>
          <w:b/>
        </w:rPr>
        <w:t xml:space="preserve">• </w:t>
      </w:r>
      <w:r>
        <w:t>Phone number</w:t>
      </w:r>
    </w:p>
    <w:p>
      <w:pPr>
        <w:spacing w:after="40"/>
        <w:ind w:left="283"/>
      </w:pPr>
      <w:r>
        <w:rPr>
          <w:b/>
        </w:rPr>
        <w:t xml:space="preserve">• </w:t>
      </w:r>
      <w:r>
        <w:t>Child name</w:t>
      </w:r>
    </w:p>
    <w:p>
      <w:pPr>
        <w:spacing w:after="40"/>
        <w:ind w:left="283"/>
      </w:pPr>
      <w:r>
        <w:rPr>
          <w:b/>
        </w:rPr>
        <w:t xml:space="preserve">• </w:t>
      </w:r>
      <w:r>
        <w:t>Year group</w:t>
      </w:r>
    </w:p>
    <w:p>
      <w:pPr>
        <w:spacing w:after="40"/>
        <w:ind w:left="283"/>
      </w:pPr>
      <w:r>
        <w:rPr>
          <w:b/>
        </w:rPr>
        <w:t xml:space="preserve">• </w:t>
      </w:r>
      <w:r>
        <w:t>Subject needed</w:t>
      </w:r>
    </w:p>
    <w:p>
      <w:pPr>
        <w:spacing w:after="40"/>
        <w:ind w:left="283"/>
      </w:pPr>
      <w:r>
        <w:rPr>
          <w:b/>
        </w:rPr>
        <w:t xml:space="preserve">• </w:t>
      </w:r>
      <w:r>
        <w:t>Current school or curriculum (optional)</w:t>
      </w:r>
    </w:p>
    <w:p>
      <w:pPr>
        <w:spacing w:after="40"/>
        <w:ind w:left="283"/>
      </w:pPr>
      <w:r>
        <w:rPr>
          <w:b/>
        </w:rPr>
        <w:t xml:space="preserve">• </w:t>
      </w:r>
      <w:r>
        <w:t>Main concern or academic goal</w:t>
      </w:r>
    </w:p>
    <w:p>
      <w:pPr>
        <w:spacing w:after="40"/>
        <w:ind w:left="283"/>
      </w:pPr>
      <w:r>
        <w:rPr>
          <w:b/>
        </w:rPr>
        <w:t xml:space="preserve">• </w:t>
      </w:r>
      <w:r>
        <w:t>Preferred time to be contacted</w:t>
      </w:r>
    </w:p>
    <w:p>
      <w:pPr>
        <w:pStyle w:val="SubHeading"/>
      </w:pPr>
      <w:r>
        <w:t>Form consent microcopy</w:t>
      </w:r>
    </w:p>
    <w:p>
      <w:pPr>
        <w:spacing w:after="120"/>
      </w:pPr>
      <w:r>
        <w:t>I have read the privacy notice and agree to Jothi Learning using my details to respond to this enquiry.</w:t>
      </w:r>
    </w:p>
    <w:p>
      <w:pPr>
        <w:pStyle w:val="SubHeading"/>
      </w:pPr>
      <w:r>
        <w:t>Form helper text</w:t>
      </w:r>
    </w:p>
    <w:p>
      <w:pPr>
        <w:spacing w:after="120"/>
      </w:pPr>
      <w:r>
        <w:t>For launch, keep this form strictly for admissions enquiries. Add a separate unticked marketing opt-in only if you plan to send marketing messages later.</w:t>
      </w:r>
    </w:p>
    <w:p>
      <w:pPr>
        <w:pStyle w:val="SubHeading"/>
      </w:pPr>
      <w:r>
        <w:t>Pricing note</w:t>
      </w:r>
    </w:p>
    <w:p>
      <w:pPr>
        <w:spacing w:after="120"/>
      </w:pPr>
      <w:r>
        <w:t>Programmes are priced after consultation, based on year group, subject mix, and level of support required.</w:t>
      </w:r>
    </w:p>
    <w:p>
      <w:pPr>
        <w:pStyle w:val="SubHeading"/>
      </w:pPr>
      <w:r>
        <w:t>Short FAQ block</w:t>
      </w:r>
    </w:p>
    <w:p>
      <w:pPr>
        <w:spacing w:after="120"/>
      </w:pPr>
      <w:r>
        <w:t>Do you offer one-to-one and small-group support?</w:t>
        <w:br/>
        <w:t>Jothi is built around structured programme delivery. The exact format depends on the student’s stage and the support required.</w:t>
      </w:r>
    </w:p>
    <w:p>
      <w:pPr>
        <w:spacing w:after="120"/>
      </w:pPr>
      <w:r>
        <w:t>Do you support students outside Maths?</w:t>
        <w:br/>
        <w:t>Yes. Jothi also supports Chemistry and Physics from Year 9 onwards.</w:t>
      </w:r>
    </w:p>
    <w:p>
      <w:pPr>
        <w:spacing w:after="120"/>
      </w:pPr>
      <w:r>
        <w:t>Can you help if my child is bright but inconsistent?</w:t>
        <w:br/>
        <w:t>Yes. Many families come to Jothi for exactly that reason.</w:t>
      </w:r>
    </w:p>
    <w:p>
      <w:pPr>
        <w:spacing w:after="120"/>
      </w:pPr>
      <w:r>
        <w:t>Do you publish prices online?</w:t>
        <w:br/>
        <w:t>Programme pricing is discussed after consultation so the recommendation suits the student rather than forcing every family into the same model.</w:t>
      </w:r>
    </w:p>
    <w:p>
      <w:pPr>
        <w:pStyle w:val="SubHeading"/>
      </w:pPr>
      <w:r>
        <w:t>Final CTA</w:t>
      </w:r>
    </w:p>
    <w:p>
      <w:pPr>
        <w:spacing w:after="120"/>
      </w:pPr>
      <w:r>
        <w:t>If you are looking for a clearer academic path, start with a consultation.</w:t>
      </w:r>
    </w:p>
    <w:p>
      <w:pPr>
        <w:pStyle w:val="SectionHeading"/>
      </w:pPr>
      <w:r>
        <w:t>6. Legal Short-Form Website Text</w:t>
      </w:r>
    </w:p>
    <w:p>
      <w:pPr>
        <w:pStyle w:val="SubHeading"/>
      </w:pPr>
      <w:r>
        <w:t>Website footer</w:t>
      </w:r>
    </w:p>
    <w:p>
      <w:pPr>
        <w:spacing w:after="120"/>
      </w:pPr>
      <w:r>
        <w:t>JOTHI LEARNING LIMITED</w:t>
        <w:br/>
        <w:t>Registered in England and Wales · Company No. 12571880 · Registered office: 2 Wilmot Drive, Birmingham, B23 5UA · ICO registration: ZC121472</w:t>
      </w:r>
    </w:p>
    <w:p>
      <w:pPr>
        <w:pStyle w:val="SubHeading"/>
      </w:pPr>
      <w:r>
        <w:t>Privacy notice short-form introduction</w:t>
      </w:r>
    </w:p>
    <w:p>
      <w:pPr>
        <w:spacing w:after="120"/>
      </w:pPr>
      <w:r>
        <w:t>Jothi Learning collects and uses personal information so that it can respond to enquiries, assess programme fit, deliver tuition and support services, communicate with parents and students, and run its operations lawfully and safely. This includes admissions and contact details, educational information, lesson and progress information, payment or administration details where relevant, and safeguarding-related information where necessary.</w:t>
      </w:r>
    </w:p>
    <w:p>
      <w:pPr>
        <w:pStyle w:val="SubHeading"/>
      </w:pPr>
      <w:r>
        <w:t>Privacy notice contact block</w:t>
      </w:r>
    </w:p>
    <w:p>
      <w:pPr>
        <w:spacing w:after="120"/>
      </w:pPr>
      <w:r>
        <w:t>If you have a privacy question or would like to exercise your data rights, contact admissions@jothi.uk.</w:t>
      </w:r>
    </w:p>
    <w:p>
      <w:pPr>
        <w:spacing w:after="120"/>
      </w:pPr>
      <w:r>
        <w:t>JOTHI LEARNING LIMITED</w:t>
        <w:br/>
        <w:t>Registered office: 2 Wilmot Drive, Birmingham, B23 5UA</w:t>
        <w:br/>
        <w:t>Company number: 12571880</w:t>
        <w:br/>
        <w:t>ICO registration reference: ZC121472</w:t>
      </w:r>
    </w:p>
    <w:p>
      <w:pPr>
        <w:pStyle w:val="SubHeading"/>
      </w:pPr>
      <w:r>
        <w:t>Privacy notice processor note</w:t>
      </w:r>
    </w:p>
    <w:p>
      <w:pPr>
        <w:spacing w:after="120"/>
      </w:pPr>
      <w:r>
        <w:t>Replace this line once the live form processor is chosen: website enquiry forms may be handled by a third-party form service acting as a processor on Jothi’s behalf. The privacy notice should name that service before launch.</w:t>
      </w:r>
    </w:p>
    <w:p>
      <w:pPr>
        <w:pStyle w:val="SubHeading"/>
      </w:pPr>
      <w:r>
        <w:t>Cookies notice short-form</w:t>
      </w:r>
    </w:p>
    <w:p>
      <w:pPr>
        <w:spacing w:after="120"/>
      </w:pPr>
      <w:r>
        <w:t>At launch, the website should avoid non-essential tracking. If this remains the case, the cookies notice can state that the site uses only essential cookies or equivalent technical measures needed for core site functionality. If analytics, Meta Pixel, or other advertising technologies are added later, the cookies notice and consent approach must be updated before those tools go live.</w:t>
      </w:r>
    </w:p>
    <w:p>
      <w:pPr>
        <w:pStyle w:val="SubHeading"/>
      </w:pPr>
      <w:r>
        <w:t>Terms page short-form introduction</w:t>
      </w:r>
    </w:p>
    <w:p>
      <w:pPr>
        <w:spacing w:after="120"/>
      </w:pPr>
      <w:r>
        <w:t>This website provides general information about Jothi Learning’s programmes and a route to contact the admissions team. It does not itself create a contract for tuition. Programme recommendations, terms of service, timings, pricing, and any onboarding requirements are confirmed separately after consultation.</w:t>
      </w:r>
    </w:p>
    <w:p>
      <w:pPr>
        <w:pStyle w:val="SubHeading"/>
      </w:pPr>
      <w:r>
        <w:t>Legal links labels</w:t>
      </w:r>
    </w:p>
    <w:p>
      <w:pPr>
        <w:spacing w:after="120"/>
      </w:pPr>
      <w:r>
        <w:t>Footer links: Privacy Notice · Cookies Notice · Website Terms · Contact</w:t>
        <w:br/>
        <w:t>Quick Access footer links: Classkick · Ayotree · Tutor Portal</w:t>
      </w:r>
    </w:p>
    <w:p>
      <w:pPr>
        <w:pStyle w:val="SubHeading"/>
      </w:pPr>
      <w:r>
        <w:t>Admissions disclaimer</w:t>
      </w:r>
    </w:p>
    <w:p>
      <w:pPr>
        <w:spacing w:after="120"/>
      </w:pPr>
      <w:r>
        <w:t>Submitting an enquiry does not guarantee a place. Recommendations depend on the student’s current stage, subject needs, and whether the programme is a suitable fit.</w:t>
      </w:r>
    </w:p>
    <w:p>
      <w:pPr>
        <w:pStyle w:val="SectionHeading"/>
      </w:pPr>
      <w:r>
        <w:t>7. Tutor Profile Copy Blocks</w:t>
      </w:r>
    </w:p>
    <w:p>
      <w:pPr>
        <w:spacing w:after="120"/>
      </w:pPr>
      <w:r>
        <w:t>These profiles are written for a premium card-based website layout. They deliberately avoid long CV-style text. Use the short profile on cards and the longer note only on an expanded team section or About page. All profiles should be checked for consent, accuracy, and final qualification wording before publication.</w:t>
      </w:r>
    </w:p>
    <w:p>
      <w:pPr>
        <w:pStyle w:val="SubHeading"/>
      </w:pPr>
      <w:r>
        <w:t>Prakash Micheal</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vAlign w:val="center"/>
            <w:tcMar>
              <w:top w:w="130" w:type="dxa"/>
              <w:start w:w="130" w:type="dxa"/>
              <w:bottom w:w="130" w:type="dxa"/>
              <w:end w:w="130" w:type="dxa"/>
            </w:tcMar>
            <w:shd w:fill="F3EEE3"/>
          </w:tcPr>
          <w:p>
            <w:pPr>
              <w:spacing w:after="0"/>
            </w:pPr>
            <w:r>
              <w:rPr>
                <w:b/>
                <w:color w:val="13233B"/>
              </w:rPr>
              <w:t>Subject focus</w:t>
            </w:r>
          </w:p>
        </w:tc>
        <w:tc>
          <w:tcPr>
            <w:tcW w:type="dxa" w:w="6236"/>
            <w:vAlign w:val="center"/>
            <w:tcMar>
              <w:top w:w="130" w:type="dxa"/>
              <w:start w:w="130" w:type="dxa"/>
              <w:bottom w:w="130" w:type="dxa"/>
              <w:end w:w="130" w:type="dxa"/>
            </w:tcMar>
            <w:shd w:fill="FBF9F5"/>
          </w:tcPr>
          <w:p>
            <w:pPr>
              <w:spacing w:after="0"/>
            </w:pPr>
            <w:r>
              <w:t>Maths and Chemistry</w:t>
            </w:r>
          </w:p>
        </w:tc>
      </w:tr>
      <w:tr>
        <w:tc>
          <w:tcPr>
            <w:tcW w:type="dxa" w:w="2381"/>
            <w:vAlign w:val="center"/>
            <w:tcMar>
              <w:top w:w="130" w:type="dxa"/>
              <w:start w:w="130" w:type="dxa"/>
              <w:bottom w:w="130" w:type="dxa"/>
              <w:end w:w="130" w:type="dxa"/>
            </w:tcMar>
            <w:shd w:fill="F3EEE3"/>
          </w:tcPr>
          <w:p>
            <w:pPr>
              <w:spacing w:after="0"/>
            </w:pPr>
            <w:r>
              <w:rPr>
                <w:b/>
                <w:color w:val="13233B"/>
              </w:rPr>
              <w:t>Qualification highlight</w:t>
            </w:r>
          </w:p>
        </w:tc>
        <w:tc>
          <w:tcPr>
            <w:tcW w:type="dxa" w:w="6236"/>
            <w:vAlign w:val="center"/>
            <w:tcMar>
              <w:top w:w="130" w:type="dxa"/>
              <w:start w:w="130" w:type="dxa"/>
              <w:bottom w:w="130" w:type="dxa"/>
              <w:end w:w="130" w:type="dxa"/>
            </w:tcMar>
            <w:shd w:fill="FBF9F5"/>
          </w:tcPr>
          <w:p>
            <w:pPr>
              <w:spacing w:after="0"/>
            </w:pPr>
            <w:r>
              <w:t>BSc Chemistry; BTech Polymer Engineering</w:t>
            </w:r>
          </w:p>
        </w:tc>
      </w:tr>
      <w:tr>
        <w:tc>
          <w:tcPr>
            <w:tcW w:type="dxa" w:w="2381"/>
            <w:vAlign w:val="center"/>
            <w:tcMar>
              <w:top w:w="130" w:type="dxa"/>
              <w:start w:w="130" w:type="dxa"/>
              <w:bottom w:w="130" w:type="dxa"/>
              <w:end w:w="130" w:type="dxa"/>
            </w:tcMar>
            <w:shd w:fill="F3EEE3"/>
          </w:tcPr>
          <w:p>
            <w:pPr>
              <w:spacing w:after="0"/>
            </w:pPr>
            <w:r>
              <w:rPr>
                <w:b/>
                <w:color w:val="13233B"/>
              </w:rPr>
              <w:t>Card copy</w:t>
            </w:r>
          </w:p>
        </w:tc>
        <w:tc>
          <w:tcPr>
            <w:tcW w:type="dxa" w:w="6236"/>
            <w:vAlign w:val="center"/>
            <w:tcMar>
              <w:top w:w="130" w:type="dxa"/>
              <w:start w:w="130" w:type="dxa"/>
              <w:bottom w:w="130" w:type="dxa"/>
              <w:end w:w="130" w:type="dxa"/>
            </w:tcMar>
            <w:shd w:fill="FBF9F5"/>
          </w:tcPr>
          <w:p>
            <w:pPr>
              <w:spacing w:after="0"/>
            </w:pPr>
            <w:r>
              <w:t>Founder and teacher focused on structured Maths and Science teaching, with a long-standing commitment to turning effort into visible progress.</w:t>
            </w:r>
          </w:p>
        </w:tc>
      </w:tr>
      <w:tr>
        <w:tc>
          <w:tcPr>
            <w:tcW w:type="dxa" w:w="2381"/>
            <w:vAlign w:val="center"/>
            <w:tcMar>
              <w:top w:w="130" w:type="dxa"/>
              <w:start w:w="130" w:type="dxa"/>
              <w:bottom w:w="130" w:type="dxa"/>
              <w:end w:w="130" w:type="dxa"/>
            </w:tcMar>
            <w:shd w:fill="F3EEE3"/>
          </w:tcPr>
          <w:p>
            <w:pPr>
              <w:spacing w:after="0"/>
            </w:pPr>
            <w:r>
              <w:rPr>
                <w:b/>
                <w:color w:val="13233B"/>
              </w:rPr>
              <w:t>Extended note</w:t>
            </w:r>
          </w:p>
        </w:tc>
        <w:tc>
          <w:tcPr>
            <w:tcW w:type="dxa" w:w="6236"/>
            <w:vAlign w:val="center"/>
            <w:tcMar>
              <w:top w:w="130" w:type="dxa"/>
              <w:start w:w="130" w:type="dxa"/>
              <w:bottom w:w="130" w:type="dxa"/>
              <w:end w:w="130" w:type="dxa"/>
            </w:tcMar>
            <w:shd w:fill="FBF9F5"/>
          </w:tcPr>
          <w:p>
            <w:pPr>
              <w:spacing w:after="0"/>
            </w:pPr>
            <w:r>
              <w:t>Prakash Micheal combines a Chemistry background with wider systems-led teaching experience. His role in Jothi is not limited to teaching alone; he also shapes the academic structure behind the programmes, including curriculum planning, progress tracking, and tutor development. This makes him well suited to families looking for clarity, consistency, and a more disciplined route from effort to results.</w:t>
            </w:r>
          </w:p>
        </w:tc>
      </w:tr>
    </w:tbl>
    <w:p/>
    <w:p>
      <w:pPr>
        <w:pStyle w:val="SubHeading"/>
      </w:pPr>
      <w:r>
        <w:t>Dr. Jinesh C. Manyil</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vAlign w:val="center"/>
            <w:tcMar>
              <w:top w:w="130" w:type="dxa"/>
              <w:start w:w="130" w:type="dxa"/>
              <w:bottom w:w="130" w:type="dxa"/>
              <w:end w:w="130" w:type="dxa"/>
            </w:tcMar>
            <w:shd w:fill="F3EEE3"/>
          </w:tcPr>
          <w:p>
            <w:pPr>
              <w:spacing w:after="0"/>
            </w:pPr>
            <w:r>
              <w:rPr>
                <w:b/>
                <w:color w:val="13233B"/>
              </w:rPr>
              <w:t>Subject focus</w:t>
            </w:r>
          </w:p>
        </w:tc>
        <w:tc>
          <w:tcPr>
            <w:tcW w:type="dxa" w:w="6236"/>
            <w:vAlign w:val="center"/>
            <w:tcMar>
              <w:top w:w="130" w:type="dxa"/>
              <w:start w:w="130" w:type="dxa"/>
              <w:bottom w:w="130" w:type="dxa"/>
              <w:end w:w="130" w:type="dxa"/>
            </w:tcMar>
            <w:shd w:fill="FBF9F5"/>
          </w:tcPr>
          <w:p>
            <w:pPr>
              <w:spacing w:after="0"/>
            </w:pPr>
            <w:r>
              <w:t>Chemistry</w:t>
            </w:r>
          </w:p>
        </w:tc>
      </w:tr>
      <w:tr>
        <w:tc>
          <w:tcPr>
            <w:tcW w:type="dxa" w:w="2381"/>
            <w:vAlign w:val="center"/>
            <w:tcMar>
              <w:top w:w="130" w:type="dxa"/>
              <w:start w:w="130" w:type="dxa"/>
              <w:bottom w:w="130" w:type="dxa"/>
              <w:end w:w="130" w:type="dxa"/>
            </w:tcMar>
            <w:shd w:fill="F3EEE3"/>
          </w:tcPr>
          <w:p>
            <w:pPr>
              <w:spacing w:after="0"/>
            </w:pPr>
            <w:r>
              <w:rPr>
                <w:b/>
                <w:color w:val="13233B"/>
              </w:rPr>
              <w:t>Qualification highlight</w:t>
            </w:r>
          </w:p>
        </w:tc>
        <w:tc>
          <w:tcPr>
            <w:tcW w:type="dxa" w:w="6236"/>
            <w:vAlign w:val="center"/>
            <w:tcMar>
              <w:top w:w="130" w:type="dxa"/>
              <w:start w:w="130" w:type="dxa"/>
              <w:bottom w:w="130" w:type="dxa"/>
              <w:end w:w="130" w:type="dxa"/>
            </w:tcMar>
            <w:shd w:fill="FBF9F5"/>
          </w:tcPr>
          <w:p>
            <w:pPr>
              <w:spacing w:after="0"/>
            </w:pPr>
            <w:r>
              <w:t>PhD Chemistry; MSc Polymer Chemistry; MTech Industrial Catalysis</w:t>
            </w:r>
          </w:p>
        </w:tc>
      </w:tr>
      <w:tr>
        <w:tc>
          <w:tcPr>
            <w:tcW w:type="dxa" w:w="2381"/>
            <w:vAlign w:val="center"/>
            <w:tcMar>
              <w:top w:w="130" w:type="dxa"/>
              <w:start w:w="130" w:type="dxa"/>
              <w:bottom w:w="130" w:type="dxa"/>
              <w:end w:w="130" w:type="dxa"/>
            </w:tcMar>
            <w:shd w:fill="F3EEE3"/>
          </w:tcPr>
          <w:p>
            <w:pPr>
              <w:spacing w:after="0"/>
            </w:pPr>
            <w:r>
              <w:rPr>
                <w:b/>
                <w:color w:val="13233B"/>
              </w:rPr>
              <w:t>Card copy</w:t>
            </w:r>
          </w:p>
        </w:tc>
        <w:tc>
          <w:tcPr>
            <w:tcW w:type="dxa" w:w="6236"/>
            <w:vAlign w:val="center"/>
            <w:tcMar>
              <w:top w:w="130" w:type="dxa"/>
              <w:start w:w="130" w:type="dxa"/>
              <w:bottom w:w="130" w:type="dxa"/>
              <w:end w:w="130" w:type="dxa"/>
            </w:tcMar>
            <w:shd w:fill="FBF9F5"/>
          </w:tcPr>
          <w:p>
            <w:pPr>
              <w:spacing w:after="0"/>
            </w:pPr>
            <w:r>
              <w:t>Chemistry specialist with deep subject expertise, research experience, and a strong track record of explaining complex ideas clearly.</w:t>
            </w:r>
          </w:p>
        </w:tc>
      </w:tr>
      <w:tr>
        <w:tc>
          <w:tcPr>
            <w:tcW w:type="dxa" w:w="2381"/>
            <w:vAlign w:val="center"/>
            <w:tcMar>
              <w:top w:w="130" w:type="dxa"/>
              <w:start w:w="130" w:type="dxa"/>
              <w:bottom w:w="130" w:type="dxa"/>
              <w:end w:w="130" w:type="dxa"/>
            </w:tcMar>
            <w:shd w:fill="F3EEE3"/>
          </w:tcPr>
          <w:p>
            <w:pPr>
              <w:spacing w:after="0"/>
            </w:pPr>
            <w:r>
              <w:rPr>
                <w:b/>
                <w:color w:val="13233B"/>
              </w:rPr>
              <w:t>Extended note</w:t>
            </w:r>
          </w:p>
        </w:tc>
        <w:tc>
          <w:tcPr>
            <w:tcW w:type="dxa" w:w="6236"/>
            <w:vAlign w:val="center"/>
            <w:tcMar>
              <w:top w:w="130" w:type="dxa"/>
              <w:start w:w="130" w:type="dxa"/>
              <w:bottom w:w="130" w:type="dxa"/>
              <w:end w:w="130" w:type="dxa"/>
            </w:tcMar>
            <w:shd w:fill="FBF9F5"/>
          </w:tcPr>
          <w:p>
            <w:pPr>
              <w:spacing w:after="0"/>
            </w:pPr>
            <w:r>
              <w:t>Dr. Jinesh C. Manyil brings advanced Chemistry knowledge and significant research depth to the teaching team. His academic background, publication record, and teaching experience support a calm, rigorous approach that helps students move beyond memorisation towards clearer conceptual understanding and stronger exam readiness.</w:t>
            </w:r>
          </w:p>
        </w:tc>
      </w:tr>
    </w:tbl>
    <w:p/>
    <w:p>
      <w:pPr>
        <w:pStyle w:val="SubHeading"/>
      </w:pPr>
      <w:r>
        <w:t>Saranya Kurup</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vAlign w:val="center"/>
            <w:tcMar>
              <w:top w:w="130" w:type="dxa"/>
              <w:start w:w="130" w:type="dxa"/>
              <w:bottom w:w="130" w:type="dxa"/>
              <w:end w:w="130" w:type="dxa"/>
            </w:tcMar>
            <w:shd w:fill="F3EEE3"/>
          </w:tcPr>
          <w:p>
            <w:pPr>
              <w:spacing w:after="0"/>
            </w:pPr>
            <w:r>
              <w:rPr>
                <w:b/>
                <w:color w:val="13233B"/>
              </w:rPr>
              <w:t>Subject focus</w:t>
            </w:r>
          </w:p>
        </w:tc>
        <w:tc>
          <w:tcPr>
            <w:tcW w:type="dxa" w:w="6236"/>
            <w:vAlign w:val="center"/>
            <w:tcMar>
              <w:top w:w="130" w:type="dxa"/>
              <w:start w:w="130" w:type="dxa"/>
              <w:bottom w:w="130" w:type="dxa"/>
              <w:end w:w="130" w:type="dxa"/>
            </w:tcMar>
            <w:shd w:fill="FBF9F5"/>
          </w:tcPr>
          <w:p>
            <w:pPr>
              <w:spacing w:after="0"/>
            </w:pPr>
            <w:r>
              <w:t>Maths</w:t>
            </w:r>
          </w:p>
        </w:tc>
      </w:tr>
      <w:tr>
        <w:tc>
          <w:tcPr>
            <w:tcW w:type="dxa" w:w="2381"/>
            <w:vAlign w:val="center"/>
            <w:tcMar>
              <w:top w:w="130" w:type="dxa"/>
              <w:start w:w="130" w:type="dxa"/>
              <w:bottom w:w="130" w:type="dxa"/>
              <w:end w:w="130" w:type="dxa"/>
            </w:tcMar>
            <w:shd w:fill="F3EEE3"/>
          </w:tcPr>
          <w:p>
            <w:pPr>
              <w:spacing w:after="0"/>
            </w:pPr>
            <w:r>
              <w:rPr>
                <w:b/>
                <w:color w:val="13233B"/>
              </w:rPr>
              <w:t>Qualification highlight</w:t>
            </w:r>
          </w:p>
        </w:tc>
        <w:tc>
          <w:tcPr>
            <w:tcW w:type="dxa" w:w="6236"/>
            <w:vAlign w:val="center"/>
            <w:tcMar>
              <w:top w:w="130" w:type="dxa"/>
              <w:start w:w="130" w:type="dxa"/>
              <w:bottom w:w="130" w:type="dxa"/>
              <w:end w:w="130" w:type="dxa"/>
            </w:tcMar>
            <w:shd w:fill="FBF9F5"/>
          </w:tcPr>
          <w:p>
            <w:pPr>
              <w:spacing w:after="0"/>
            </w:pPr>
            <w:r>
              <w:t>MSc Mathematics</w:t>
            </w:r>
          </w:p>
        </w:tc>
      </w:tr>
      <w:tr>
        <w:tc>
          <w:tcPr>
            <w:tcW w:type="dxa" w:w="2381"/>
            <w:vAlign w:val="center"/>
            <w:tcMar>
              <w:top w:w="130" w:type="dxa"/>
              <w:start w:w="130" w:type="dxa"/>
              <w:bottom w:w="130" w:type="dxa"/>
              <w:end w:w="130" w:type="dxa"/>
            </w:tcMar>
            <w:shd w:fill="F3EEE3"/>
          </w:tcPr>
          <w:p>
            <w:pPr>
              <w:spacing w:after="0"/>
            </w:pPr>
            <w:r>
              <w:rPr>
                <w:b/>
                <w:color w:val="13233B"/>
              </w:rPr>
              <w:t>Card copy</w:t>
            </w:r>
          </w:p>
        </w:tc>
        <w:tc>
          <w:tcPr>
            <w:tcW w:type="dxa" w:w="6236"/>
            <w:vAlign w:val="center"/>
            <w:tcMar>
              <w:top w:w="130" w:type="dxa"/>
              <w:start w:w="130" w:type="dxa"/>
              <w:bottom w:w="130" w:type="dxa"/>
              <w:end w:w="130" w:type="dxa"/>
            </w:tcMar>
            <w:shd w:fill="FBF9F5"/>
          </w:tcPr>
          <w:p>
            <w:pPr>
              <w:spacing w:after="0"/>
            </w:pPr>
            <w:r>
              <w:t>Maths teacher focused on helping students build confidence, master challenging concepts, and progress with clarity.</w:t>
            </w:r>
          </w:p>
        </w:tc>
      </w:tr>
      <w:tr>
        <w:tc>
          <w:tcPr>
            <w:tcW w:type="dxa" w:w="2381"/>
            <w:vAlign w:val="center"/>
            <w:tcMar>
              <w:top w:w="130" w:type="dxa"/>
              <w:start w:w="130" w:type="dxa"/>
              <w:bottom w:w="130" w:type="dxa"/>
              <w:end w:w="130" w:type="dxa"/>
            </w:tcMar>
            <w:shd w:fill="F3EEE3"/>
          </w:tcPr>
          <w:p>
            <w:pPr>
              <w:spacing w:after="0"/>
            </w:pPr>
            <w:r>
              <w:rPr>
                <w:b/>
                <w:color w:val="13233B"/>
              </w:rPr>
              <w:t>Extended note</w:t>
            </w:r>
          </w:p>
        </w:tc>
        <w:tc>
          <w:tcPr>
            <w:tcW w:type="dxa" w:w="6236"/>
            <w:vAlign w:val="center"/>
            <w:tcMar>
              <w:top w:w="130" w:type="dxa"/>
              <w:start w:w="130" w:type="dxa"/>
              <w:bottom w:w="130" w:type="dxa"/>
              <w:end w:w="130" w:type="dxa"/>
            </w:tcMar>
            <w:shd w:fill="FBF9F5"/>
          </w:tcPr>
          <w:p>
            <w:pPr>
              <w:spacing w:after="0"/>
            </w:pPr>
            <w:r>
              <w:t>Saranya Kurup specialises in structured Maths teaching with a strong emphasis on understanding, confidence, and consistency. Her profile is especially well suited to students who need calm, careful teaching and families who value steady progress rather than short-term cramming.</w:t>
            </w:r>
          </w:p>
        </w:tc>
      </w:tr>
    </w:tbl>
    <w:p/>
    <w:p>
      <w:pPr>
        <w:pStyle w:val="SubHeading"/>
      </w:pPr>
      <w:r>
        <w:t>Shebina Babu</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vAlign w:val="center"/>
            <w:tcMar>
              <w:top w:w="130" w:type="dxa"/>
              <w:start w:w="130" w:type="dxa"/>
              <w:bottom w:w="130" w:type="dxa"/>
              <w:end w:w="130" w:type="dxa"/>
            </w:tcMar>
            <w:shd w:fill="F3EEE3"/>
          </w:tcPr>
          <w:p>
            <w:pPr>
              <w:spacing w:after="0"/>
            </w:pPr>
            <w:r>
              <w:rPr>
                <w:b/>
                <w:color w:val="13233B"/>
              </w:rPr>
              <w:t>Subject focus</w:t>
            </w:r>
          </w:p>
        </w:tc>
        <w:tc>
          <w:tcPr>
            <w:tcW w:type="dxa" w:w="6236"/>
            <w:vAlign w:val="center"/>
            <w:tcMar>
              <w:top w:w="130" w:type="dxa"/>
              <w:start w:w="130" w:type="dxa"/>
              <w:bottom w:w="130" w:type="dxa"/>
              <w:end w:w="130" w:type="dxa"/>
            </w:tcMar>
            <w:shd w:fill="FBF9F5"/>
          </w:tcPr>
          <w:p>
            <w:pPr>
              <w:spacing w:after="0"/>
            </w:pPr>
            <w:r>
              <w:t>Chemistry</w:t>
            </w:r>
          </w:p>
        </w:tc>
      </w:tr>
      <w:tr>
        <w:tc>
          <w:tcPr>
            <w:tcW w:type="dxa" w:w="2381"/>
            <w:vAlign w:val="center"/>
            <w:tcMar>
              <w:top w:w="130" w:type="dxa"/>
              <w:start w:w="130" w:type="dxa"/>
              <w:bottom w:w="130" w:type="dxa"/>
              <w:end w:w="130" w:type="dxa"/>
            </w:tcMar>
            <w:shd w:fill="F3EEE3"/>
          </w:tcPr>
          <w:p>
            <w:pPr>
              <w:spacing w:after="0"/>
            </w:pPr>
            <w:r>
              <w:rPr>
                <w:b/>
                <w:color w:val="13233B"/>
              </w:rPr>
              <w:t>Qualification highlight</w:t>
            </w:r>
          </w:p>
        </w:tc>
        <w:tc>
          <w:tcPr>
            <w:tcW w:type="dxa" w:w="6236"/>
            <w:vAlign w:val="center"/>
            <w:tcMar>
              <w:top w:w="130" w:type="dxa"/>
              <w:start w:w="130" w:type="dxa"/>
              <w:bottom w:w="130" w:type="dxa"/>
              <w:end w:w="130" w:type="dxa"/>
            </w:tcMar>
            <w:shd w:fill="FBF9F5"/>
          </w:tcPr>
          <w:p>
            <w:pPr>
              <w:spacing w:after="0"/>
            </w:pPr>
            <w:r>
              <w:t>MSc Cancer Research and Precision Oncology; MSc Biotechnology; BSc Biotechnology</w:t>
            </w:r>
          </w:p>
        </w:tc>
      </w:tr>
      <w:tr>
        <w:tc>
          <w:tcPr>
            <w:tcW w:type="dxa" w:w="2381"/>
            <w:vAlign w:val="center"/>
            <w:tcMar>
              <w:top w:w="130" w:type="dxa"/>
              <w:start w:w="130" w:type="dxa"/>
              <w:bottom w:w="130" w:type="dxa"/>
              <w:end w:w="130" w:type="dxa"/>
            </w:tcMar>
            <w:shd w:fill="F3EEE3"/>
          </w:tcPr>
          <w:p>
            <w:pPr>
              <w:spacing w:after="0"/>
            </w:pPr>
            <w:r>
              <w:rPr>
                <w:b/>
                <w:color w:val="13233B"/>
              </w:rPr>
              <w:t>Card copy</w:t>
            </w:r>
          </w:p>
        </w:tc>
        <w:tc>
          <w:tcPr>
            <w:tcW w:type="dxa" w:w="6236"/>
            <w:vAlign w:val="center"/>
            <w:tcMar>
              <w:top w:w="130" w:type="dxa"/>
              <w:start w:w="130" w:type="dxa"/>
              <w:bottom w:w="130" w:type="dxa"/>
              <w:end w:w="130" w:type="dxa"/>
            </w:tcMar>
            <w:shd w:fill="FBF9F5"/>
          </w:tcPr>
          <w:p>
            <w:pPr>
              <w:spacing w:after="0"/>
            </w:pPr>
            <w:r>
              <w:t>Chemistry teacher with a strong bioscience background and a disciplined academic approach.</w:t>
            </w:r>
          </w:p>
        </w:tc>
      </w:tr>
      <w:tr>
        <w:tc>
          <w:tcPr>
            <w:tcW w:type="dxa" w:w="2381"/>
            <w:vAlign w:val="center"/>
            <w:tcMar>
              <w:top w:w="130" w:type="dxa"/>
              <w:start w:w="130" w:type="dxa"/>
              <w:bottom w:w="130" w:type="dxa"/>
              <w:end w:w="130" w:type="dxa"/>
            </w:tcMar>
            <w:shd w:fill="F3EEE3"/>
          </w:tcPr>
          <w:p>
            <w:pPr>
              <w:spacing w:after="0"/>
            </w:pPr>
            <w:r>
              <w:rPr>
                <w:b/>
                <w:color w:val="13233B"/>
              </w:rPr>
              <w:t>Extended note</w:t>
            </w:r>
          </w:p>
        </w:tc>
        <w:tc>
          <w:tcPr>
            <w:tcW w:type="dxa" w:w="6236"/>
            <w:vAlign w:val="center"/>
            <w:tcMar>
              <w:top w:w="130" w:type="dxa"/>
              <w:start w:w="130" w:type="dxa"/>
              <w:bottom w:w="130" w:type="dxa"/>
              <w:end w:w="130" w:type="dxa"/>
            </w:tcMar>
            <w:shd w:fill="FBF9F5"/>
          </w:tcPr>
          <w:p>
            <w:pPr>
              <w:spacing w:after="0"/>
            </w:pPr>
            <w:r>
              <w:t>Shebina Babu brings strong academic distinction across biotechnology and oncology-related study. On the website, her profile should emphasise subject seriousness, careful explanation, and the credibility that comes from a research-informed scientific background.</w:t>
            </w:r>
          </w:p>
        </w:tc>
      </w:tr>
    </w:tbl>
    <w:p/>
    <w:p>
      <w:pPr>
        <w:pStyle w:val="SubHeading"/>
      </w:pPr>
      <w:r>
        <w:t>Arun Asokan</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vAlign w:val="center"/>
            <w:tcMar>
              <w:top w:w="130" w:type="dxa"/>
              <w:start w:w="130" w:type="dxa"/>
              <w:bottom w:w="130" w:type="dxa"/>
              <w:end w:w="130" w:type="dxa"/>
            </w:tcMar>
            <w:shd w:fill="F3EEE3"/>
          </w:tcPr>
          <w:p>
            <w:pPr>
              <w:spacing w:after="0"/>
            </w:pPr>
            <w:r>
              <w:rPr>
                <w:b/>
                <w:color w:val="13233B"/>
              </w:rPr>
              <w:t>Subject focus</w:t>
            </w:r>
          </w:p>
        </w:tc>
        <w:tc>
          <w:tcPr>
            <w:tcW w:type="dxa" w:w="6236"/>
            <w:vAlign w:val="center"/>
            <w:tcMar>
              <w:top w:w="130" w:type="dxa"/>
              <w:start w:w="130" w:type="dxa"/>
              <w:bottom w:w="130" w:type="dxa"/>
              <w:end w:w="130" w:type="dxa"/>
            </w:tcMar>
            <w:shd w:fill="FBF9F5"/>
          </w:tcPr>
          <w:p>
            <w:pPr>
              <w:spacing w:after="0"/>
            </w:pPr>
            <w:r>
              <w:t>Physics</w:t>
            </w:r>
          </w:p>
        </w:tc>
      </w:tr>
      <w:tr>
        <w:tc>
          <w:tcPr>
            <w:tcW w:type="dxa" w:w="2381"/>
            <w:vAlign w:val="center"/>
            <w:tcMar>
              <w:top w:w="130" w:type="dxa"/>
              <w:start w:w="130" w:type="dxa"/>
              <w:bottom w:w="130" w:type="dxa"/>
              <w:end w:w="130" w:type="dxa"/>
            </w:tcMar>
            <w:shd w:fill="F3EEE3"/>
          </w:tcPr>
          <w:p>
            <w:pPr>
              <w:spacing w:after="0"/>
            </w:pPr>
            <w:r>
              <w:rPr>
                <w:b/>
                <w:color w:val="13233B"/>
              </w:rPr>
              <w:t>Qualification highlight</w:t>
            </w:r>
          </w:p>
        </w:tc>
        <w:tc>
          <w:tcPr>
            <w:tcW w:type="dxa" w:w="6236"/>
            <w:vAlign w:val="center"/>
            <w:tcMar>
              <w:top w:w="130" w:type="dxa"/>
              <w:start w:w="130" w:type="dxa"/>
              <w:bottom w:w="130" w:type="dxa"/>
              <w:end w:w="130" w:type="dxa"/>
            </w:tcMar>
            <w:shd w:fill="FBF9F5"/>
          </w:tcPr>
          <w:p>
            <w:pPr>
              <w:spacing w:after="0"/>
            </w:pPr>
            <w:r>
              <w:t>Bachelor of Electrical and Electronics Engineering; MBA; Postgraduate Diploma in Computer Aided Design</w:t>
            </w:r>
          </w:p>
        </w:tc>
      </w:tr>
      <w:tr>
        <w:tc>
          <w:tcPr>
            <w:tcW w:type="dxa" w:w="2381"/>
            <w:vAlign w:val="center"/>
            <w:tcMar>
              <w:top w:w="130" w:type="dxa"/>
              <w:start w:w="130" w:type="dxa"/>
              <w:bottom w:w="130" w:type="dxa"/>
              <w:end w:w="130" w:type="dxa"/>
            </w:tcMar>
            <w:shd w:fill="F3EEE3"/>
          </w:tcPr>
          <w:p>
            <w:pPr>
              <w:spacing w:after="0"/>
            </w:pPr>
            <w:r>
              <w:rPr>
                <w:b/>
                <w:color w:val="13233B"/>
              </w:rPr>
              <w:t>Card copy</w:t>
            </w:r>
          </w:p>
        </w:tc>
        <w:tc>
          <w:tcPr>
            <w:tcW w:type="dxa" w:w="6236"/>
            <w:vAlign w:val="center"/>
            <w:tcMar>
              <w:top w:w="130" w:type="dxa"/>
              <w:start w:w="130" w:type="dxa"/>
              <w:bottom w:w="130" w:type="dxa"/>
              <w:end w:w="130" w:type="dxa"/>
            </w:tcMar>
            <w:shd w:fill="FBF9F5"/>
          </w:tcPr>
          <w:p>
            <w:pPr>
              <w:spacing w:after="0"/>
            </w:pPr>
            <w:r>
              <w:t>Physics teacher with industry, technology, and teaching experience that supports practical, applied explanation.</w:t>
            </w:r>
          </w:p>
        </w:tc>
      </w:tr>
      <w:tr>
        <w:tc>
          <w:tcPr>
            <w:tcW w:type="dxa" w:w="2381"/>
            <w:vAlign w:val="center"/>
            <w:tcMar>
              <w:top w:w="130" w:type="dxa"/>
              <w:start w:w="130" w:type="dxa"/>
              <w:bottom w:w="130" w:type="dxa"/>
              <w:end w:w="130" w:type="dxa"/>
            </w:tcMar>
            <w:shd w:fill="F3EEE3"/>
          </w:tcPr>
          <w:p>
            <w:pPr>
              <w:spacing w:after="0"/>
            </w:pPr>
            <w:r>
              <w:rPr>
                <w:b/>
                <w:color w:val="13233B"/>
              </w:rPr>
              <w:t>Extended note</w:t>
            </w:r>
          </w:p>
        </w:tc>
        <w:tc>
          <w:tcPr>
            <w:tcW w:type="dxa" w:w="6236"/>
            <w:vAlign w:val="center"/>
            <w:tcMar>
              <w:top w:w="130" w:type="dxa"/>
              <w:start w:w="130" w:type="dxa"/>
              <w:bottom w:w="130" w:type="dxa"/>
              <w:end w:w="130" w:type="dxa"/>
            </w:tcMar>
            <w:shd w:fill="FBF9F5"/>
          </w:tcPr>
          <w:p>
            <w:pPr>
              <w:spacing w:after="0"/>
            </w:pPr>
            <w:r>
              <w:t>Arun Asokan combines Physics teaching experience with a wider engineering and professional background. His profile should signal clarity, maturity, and the ability to connect scientific ideas to real-world reasoning in a way that helps students understand as well as perform.</w:t>
            </w:r>
          </w:p>
        </w:tc>
      </w:tr>
    </w:tbl>
    <w:p/>
    <w:p>
      <w:pPr>
        <w:pStyle w:val="SubHeading"/>
      </w:pPr>
      <w:r>
        <w:t>Sruthi Sandeep</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vAlign w:val="center"/>
            <w:tcMar>
              <w:top w:w="130" w:type="dxa"/>
              <w:start w:w="130" w:type="dxa"/>
              <w:bottom w:w="130" w:type="dxa"/>
              <w:end w:w="130" w:type="dxa"/>
            </w:tcMar>
            <w:shd w:fill="F3EEE3"/>
          </w:tcPr>
          <w:p>
            <w:pPr>
              <w:spacing w:after="0"/>
            </w:pPr>
            <w:r>
              <w:rPr>
                <w:b/>
                <w:color w:val="13233B"/>
              </w:rPr>
              <w:t>Subject focus</w:t>
            </w:r>
          </w:p>
        </w:tc>
        <w:tc>
          <w:tcPr>
            <w:tcW w:type="dxa" w:w="6236"/>
            <w:vAlign w:val="center"/>
            <w:tcMar>
              <w:top w:w="130" w:type="dxa"/>
              <w:start w:w="130" w:type="dxa"/>
              <w:bottom w:w="130" w:type="dxa"/>
              <w:end w:w="130" w:type="dxa"/>
            </w:tcMar>
            <w:shd w:fill="FBF9F5"/>
          </w:tcPr>
          <w:p>
            <w:pPr>
              <w:spacing w:after="0"/>
            </w:pPr>
            <w:r>
              <w:t>Maths</w:t>
            </w:r>
          </w:p>
        </w:tc>
      </w:tr>
      <w:tr>
        <w:tc>
          <w:tcPr>
            <w:tcW w:type="dxa" w:w="2381"/>
            <w:vAlign w:val="center"/>
            <w:tcMar>
              <w:top w:w="130" w:type="dxa"/>
              <w:start w:w="130" w:type="dxa"/>
              <w:bottom w:w="130" w:type="dxa"/>
              <w:end w:w="130" w:type="dxa"/>
            </w:tcMar>
            <w:shd w:fill="F3EEE3"/>
          </w:tcPr>
          <w:p>
            <w:pPr>
              <w:spacing w:after="0"/>
            </w:pPr>
            <w:r>
              <w:rPr>
                <w:b/>
                <w:color w:val="13233B"/>
              </w:rPr>
              <w:t>Qualification highlight</w:t>
            </w:r>
          </w:p>
        </w:tc>
        <w:tc>
          <w:tcPr>
            <w:tcW w:type="dxa" w:w="6236"/>
            <w:vAlign w:val="center"/>
            <w:tcMar>
              <w:top w:w="130" w:type="dxa"/>
              <w:start w:w="130" w:type="dxa"/>
              <w:bottom w:w="130" w:type="dxa"/>
              <w:end w:w="130" w:type="dxa"/>
            </w:tcMar>
            <w:shd w:fill="FBF9F5"/>
          </w:tcPr>
          <w:p>
            <w:pPr>
              <w:spacing w:after="0"/>
            </w:pPr>
            <w:r>
              <w:t>Bachelor of Electrical and Electronics Engineering; MBA</w:t>
            </w:r>
          </w:p>
        </w:tc>
      </w:tr>
      <w:tr>
        <w:tc>
          <w:tcPr>
            <w:tcW w:type="dxa" w:w="2381"/>
            <w:vAlign w:val="center"/>
            <w:tcMar>
              <w:top w:w="130" w:type="dxa"/>
              <w:start w:w="130" w:type="dxa"/>
              <w:bottom w:w="130" w:type="dxa"/>
              <w:end w:w="130" w:type="dxa"/>
            </w:tcMar>
            <w:shd w:fill="F3EEE3"/>
          </w:tcPr>
          <w:p>
            <w:pPr>
              <w:spacing w:after="0"/>
            </w:pPr>
            <w:r>
              <w:rPr>
                <w:b/>
                <w:color w:val="13233B"/>
              </w:rPr>
              <w:t>Card copy</w:t>
            </w:r>
          </w:p>
        </w:tc>
        <w:tc>
          <w:tcPr>
            <w:tcW w:type="dxa" w:w="6236"/>
            <w:vAlign w:val="center"/>
            <w:tcMar>
              <w:top w:w="130" w:type="dxa"/>
              <w:start w:w="130" w:type="dxa"/>
              <w:bottom w:w="130" w:type="dxa"/>
              <w:end w:w="130" w:type="dxa"/>
            </w:tcMar>
            <w:shd w:fill="FBF9F5"/>
          </w:tcPr>
          <w:p>
            <w:pPr>
              <w:spacing w:after="0"/>
            </w:pPr>
            <w:r>
              <w:t>Maths teacher known for a supportive style, strong communication, and a practical approach to building student confidence.</w:t>
            </w:r>
          </w:p>
        </w:tc>
      </w:tr>
      <w:tr>
        <w:tc>
          <w:tcPr>
            <w:tcW w:type="dxa" w:w="2381"/>
            <w:vAlign w:val="center"/>
            <w:tcMar>
              <w:top w:w="130" w:type="dxa"/>
              <w:start w:w="130" w:type="dxa"/>
              <w:bottom w:w="130" w:type="dxa"/>
              <w:end w:w="130" w:type="dxa"/>
            </w:tcMar>
            <w:shd w:fill="F3EEE3"/>
          </w:tcPr>
          <w:p>
            <w:pPr>
              <w:spacing w:after="0"/>
            </w:pPr>
            <w:r>
              <w:rPr>
                <w:b/>
                <w:color w:val="13233B"/>
              </w:rPr>
              <w:t>Extended note</w:t>
            </w:r>
          </w:p>
        </w:tc>
        <w:tc>
          <w:tcPr>
            <w:tcW w:type="dxa" w:w="6236"/>
            <w:vAlign w:val="center"/>
            <w:tcMar>
              <w:top w:w="130" w:type="dxa"/>
              <w:start w:w="130" w:type="dxa"/>
              <w:bottom w:w="130" w:type="dxa"/>
              <w:end w:w="130" w:type="dxa"/>
            </w:tcMar>
            <w:shd w:fill="FBF9F5"/>
          </w:tcPr>
          <w:p>
            <w:pPr>
              <w:spacing w:after="0"/>
            </w:pPr>
            <w:r>
              <w:t>Sruthi Sandeep brings both technical and academic experience to the teaching team. Her public profile should position her as a Maths teacher who combines warmth with clarity, helping students feel more secure with the subject while still working within Jothi’s structured teaching model.</w:t>
            </w:r>
          </w:p>
        </w:tc>
      </w:tr>
    </w:tbl>
    <w:p/>
    <w:p>
      <w:pPr>
        <w:pStyle w:val="SectionHeading"/>
      </w:pPr>
      <w:r>
        <w:t>8. Sitewide Quick Access Links</w:t>
      </w:r>
    </w:p>
    <w:p>
      <w:pPr/>
      <w:r>
        <w:t>Approved decision</w:t>
      </w:r>
    </w:p>
    <w:p>
      <w:r>
        <w:t>Use a small top utility bar for Classkick, Ayotree, and Tutor Portal. Repeat the same three links in the footer under a Quick Access heading. Do not create a separate portal page at this stage.</w:t>
      </w:r>
    </w:p>
    <w:p>
      <w:pPr/>
      <w:r>
        <w:t>Top utility bar</w:t>
      </w:r>
    </w:p>
    <w:p>
      <w:r>
        <w:t>Classkick · Ayotree · Tutor Portal</w:t>
      </w:r>
    </w:p>
    <w:p>
      <w:pPr/>
      <w:r>
        <w:t>Footer quick access</w:t>
      </w:r>
    </w:p>
    <w:p>
      <w:r>
        <w:t>Quick Access</w:t>
        <w:br/>
        <w:t>Classkick</w:t>
        <w:br/>
        <w:t>Ayotree</w:t>
        <w:br/>
        <w:t>Tutor Portal</w:t>
      </w:r>
    </w:p>
    <w:p>
      <w:pPr/>
      <w:r>
        <w:t>Rationale</w:t>
      </w:r>
    </w:p>
    <w:p>
      <w:r>
        <w:t>This keeps frequent operational links easy to reach without making the public website feel like an internal dashboard. System-name labels are clearer than audience labels here because both students and tutors may need more than one of the same tools.</w:t>
      </w:r>
    </w:p>
    <w:p>
      <w:pPr/>
      <w:r>
        <w:t>Design rule</w:t>
      </w:r>
    </w:p>
    <w:p>
      <w:r>
        <w:t>Keep the utility bar visually light, clearly secondary to the main navigation, and right-aligned. Do not crowd it with additional operational links unless there is a repeated high-frequency need.</w:t>
      </w:r>
    </w:p>
    <w:p>
      <w:pPr>
        <w:pStyle w:val="SectionHeading"/>
      </w:pPr>
      <w:r>
        <w:t>9. Implementation Notes</w:t>
      </w:r>
    </w:p>
    <w:p>
      <w:pPr/>
      <w:r>
        <w:t>• Use the homepage, programmes, and about copy as the primary source of truth for first-pass build work.</w:t>
      </w:r>
    </w:p>
    <w:p>
      <w:pPr/>
      <w:r>
        <w:t>• Add a small top utility bar with Classkick · Ayotree · Tutor Portal, styled as secondary utility navigation rather than primary sales navigation.</w:t>
      </w:r>
    </w:p>
    <w:p>
      <w:pPr/>
      <w:r>
        <w:t>• Repeat the same three links in the footer under a Quick Access heading.</w:t>
      </w:r>
    </w:p>
    <w:p>
      <w:pPr/>
      <w:r>
        <w:t>• Use the tutor profiles in shortened card format on the public site; keep longer notes for optional expansion.</w:t>
      </w:r>
    </w:p>
    <w:p>
      <w:pPr/>
      <w:r>
        <w:t>• Keep the legal short-form wording aligned with the final live form processor and final cookie/tracking setup before launch.</w:t>
      </w:r>
    </w:p>
    <w:p>
      <w:pPr/>
      <w:r>
        <w:t>• Keep all outcome language grounded and evidence-based. Avoid guarantees and avoid overclaiming around grades, acceleration, or competition outcomes.</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875"/>
        <w:sz w:val="17"/>
      </w:rPr>
      <w:t>JOTHI LEARNING LIMITED · Company No. 12571880 · Registered office: 2 Wilmot Drive, Birmingham, B23 5UA · ICO registration: ZC121472</w:t>
    </w:r>
  </w:p>
  <w:p>
    <w:pP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Title"/>
    <w:pPr>
      <w:spacing w:after="60"/>
    </w:pPr>
    <w:rPr>
      <w:rFonts w:ascii="Aptos Display" w:hAnsi="Aptos Display"/>
      <w:b/>
      <w:color w:val="13233B"/>
      <w:sz w:val="48"/>
    </w:rPr>
  </w:style>
  <w:style w:type="paragraph" w:customStyle="1" w:styleId="CoverSub">
    <w:name w:val="CoverSub"/>
    <w:basedOn w:val="Subtitle"/>
    <w:pPr>
      <w:spacing w:after="60"/>
    </w:pPr>
    <w:rPr>
      <w:rFonts w:ascii="Aptos Display" w:hAnsi="Aptos Display"/>
      <w:b w:val="0"/>
      <w:color w:val="626875"/>
      <w:sz w:val="24"/>
    </w:rPr>
  </w:style>
  <w:style w:type="paragraph" w:customStyle="1" w:styleId="SectionHeading">
    <w:name w:val="SectionHeading"/>
    <w:basedOn w:val="Heading1"/>
    <w:pPr>
      <w:spacing w:before="280" w:after="120"/>
    </w:pPr>
    <w:rPr>
      <w:rFonts w:ascii="Aptos" w:hAnsi="Aptos"/>
      <w:b/>
      <w:color w:val="13233B"/>
      <w:sz w:val="32"/>
    </w:rPr>
  </w:style>
  <w:style w:type="paragraph" w:customStyle="1" w:styleId="SubHeading">
    <w:name w:val="SubHeading"/>
    <w:basedOn w:val="Heading2"/>
    <w:pPr>
      <w:spacing w:before="200" w:after="60"/>
    </w:pPr>
    <w:rPr>
      <w:rFonts w:ascii="Aptos" w:hAnsi="Aptos"/>
      <w:b/>
      <w:color w:val="13233B"/>
      <w:sz w:val="25"/>
    </w:rPr>
  </w:style>
  <w:style w:type="paragraph" w:customStyle="1" w:styleId="MinorHeading">
    <w:name w:val="MinorHeading"/>
    <w:basedOn w:val="Heading3"/>
    <w:pPr>
      <w:spacing w:after="60"/>
    </w:pPr>
    <w:rPr>
      <w:rFonts w:ascii="Aptos" w:hAnsi="Aptos"/>
      <w:b/>
      <w:color w:val="B89A5B"/>
      <w:sz w:val="22"/>
    </w:rPr>
  </w:style>
  <w:style w:type="paragraph" w:customStyle="1" w:styleId="Callout">
    <w:name w:val="Callout"/>
    <w:basedOn w:val="IntenseQuote"/>
    <w:pPr>
      <w:spacing w:after="60"/>
    </w:pPr>
    <w:rPr>
      <w:rFonts w:ascii="Aptos" w:hAnsi="Aptos"/>
      <w:b w:val="0"/>
      <w:color w:val="13233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