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48"/>
          <w:szCs w:val="48"/>
        </w:rPr>
        <w:t xml:space="preserve">AI TECHNOLOGY STACK INVENTORY</w:t>
      </w:r>
    </w:p>
    <w:p>
      <w:pPr>
        <w:spacing w:after="40" w:before="0"/>
      </w:pPr>
      <w:r>
        <w:rPr>
          <w:rFonts w:ascii="Arial" w:cs="Arial" w:eastAsia="Arial" w:hAnsi="Arial"/>
          <w:i/>
          <w:iCs/>
          <w:color w:val="2E75B6"/>
          <w:sz w:val="28"/>
          <w:szCs w:val="28"/>
        </w:rPr>
        <w:t xml:space="preserve">A CEO's Guide to Finding AI Already in Your Tools -- and Choosing What Comes Next</w:t>
      </w:r>
    </w:p>
    <w:p>
      <w:pPr>
        <w:spacing w:after="0" w:before="40"/>
      </w:pPr>
      <w:r>
        <w:rPr>
          <w:rFonts w:ascii="Arial" w:cs="Arial" w:eastAsia="Arial" w:hAnsi="Arial"/>
          <w:color w:val="595959"/>
          <w:sz w:val="22"/>
          <w:szCs w:val="22"/>
        </w:rPr>
        <w:t xml:space="preserve">Designed for SMBs with 25-150 Employees  |  Five Verticals  |  Includes Regulated Industry Guidance</w:t>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Why Your CEO Is Asking This Question</w:t>
      </w:r>
    </w:p>
    <w:p>
      <w:pPr>
        <w:spacing w:after="60" w:before="60"/>
      </w:pPr>
      <w:r>
        <w:rPr>
          <w:rFonts w:ascii="Arial" w:cs="Arial" w:eastAsia="Arial" w:hAnsi="Arial"/>
          <w:sz w:val="22"/>
          <w:szCs w:val="22"/>
        </w:rPr>
        <w:t xml:space="preserve">The most common question executives ask when beginning an AI initiative is not 'What AI should we buy?' It is: 'What AI do we already have that we are not using?'</w:t>
      </w:r>
    </w:p>
    <w:p>
      <w:pPr>
        <w:spacing w:after="80" w:before="80"/>
      </w:pPr>
      <w:r>
        <w:t xml:space="preserve"/>
      </w:r>
    </w:p>
    <w:p>
      <w:pPr>
        <w:spacing w:after="60" w:before="60"/>
      </w:pPr>
      <w:r>
        <w:rPr>
          <w:rFonts w:ascii="Arial" w:cs="Arial" w:eastAsia="Arial" w:hAnsi="Arial"/>
          <w:sz w:val="22"/>
          <w:szCs w:val="22"/>
        </w:rPr>
        <w:t xml:space="preserve">This guide answers that question across every department -- and then addresses the equally important question that follows it: 'When we do need to choose a commercial AI product, how do we choose the right one for our situation?'</w:t>
      </w:r>
    </w:p>
    <w:p>
      <w:pPr>
        <w:spacing w:after="80" w:before="80"/>
      </w:pPr>
      <w:r>
        <w:t xml:space="preserve"/>
      </w:r>
    </w:p>
    <w:p>
      <w:pPr>
        <w:spacing w:after="60" w:before="60"/>
      </w:pPr>
      <w:r>
        <w:rPr>
          <w:rFonts w:ascii="Arial" w:cs="Arial" w:eastAsia="Arial" w:hAnsi="Arial"/>
          <w:sz w:val="22"/>
          <w:szCs w:val="22"/>
        </w:rPr>
        <w:t xml:space="preserve">Most SMBs are already paying for AI features embedded in their existing software. This inventory process surfaces those capabilities before you spend a dollar on new tools. Once you have that picture, the commercial AI selection framework in this guide helps you choose a paid platform that fits your existing investment, your compliance obligations, and your team's actual workflows.</w:t>
      </w:r>
    </w:p>
    <w:p>
      <w:pPr>
        <w:pBdr>
          <w:bottom w:val="single" w:color="2E75B6" w:sz="6" w:space="1"/>
        </w:pBd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Part One: The Commercial AI Platform Selection Principle</w:t>
      </w:r>
    </w:p>
    <w:p>
      <w:pPr>
        <w:spacing w:after="60" w:before="60"/>
      </w:pPr>
      <w:r>
        <w:rPr>
          <w:rFonts w:ascii="Arial" w:cs="Arial" w:eastAsia="Arial" w:hAnsi="Arial"/>
          <w:sz w:val="22"/>
          <w:szCs w:val="22"/>
        </w:rPr>
        <w:t xml:space="preserve">Before inventorying what you have, establish a selection lens for what you will buy. This prevents purchasing decisions from being made in isolation by individual team members, and ensures that commercial AI spend reinforces -- rather than fragments -- your existing technology investments.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2E75B6"/>
                <w:sz w:val="20"/>
                <w:szCs w:val="20"/>
              </w:rPr>
              <w:t xml:space="preserve">The core principle: the best commercial AI platform for your organization is rarely the one with the highest benchmark score. It is the one that sits most naturally inside the technology investments you have already made -- while meeting the compliance bar your vertical requires.</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The Three-Way Commercial AI Decision Framework</w:t>
      </w:r>
    </w:p>
    <w:p>
      <w:pPr>
        <w:spacing w:after="60" w:before="60"/>
      </w:pPr>
      <w:r>
        <w:rPr>
          <w:rFonts w:ascii="Arial" w:cs="Arial" w:eastAsia="Arial" w:hAnsi="Arial"/>
          <w:sz w:val="22"/>
          <w:szCs w:val="22"/>
        </w:rPr>
        <w:t xml:space="preserve">When evaluating a paid AI platform for your organization, run this framework before making any selection: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Factor</w:t>
            </w:r>
          </w:p>
        </w:tc>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 Right Question to Ask</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Drives the Answer</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Ecosystem Fit</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is our primary productivity platform?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Teams deep in Microsoft 365 (email, Teams, SharePoint, Word) extract far more value from Copilot because AI is embedded in tools already open all day. Teams built on Google Workspace (Gmail, Docs, Sheets, Meet) get compounding value from Gemini for the same reason.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Capability Ceiling</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we need frontier reasoning, or productivity assistance?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Copilot and Gemini are productivity multipliers -- excellent for drafting, summarization, and workflow automation within their ecosystems. Anthropic Claude is a frontier reasoning model -- the right choice when the work involves complex analysis, judgment-heavy tasks, or building AI agents and automations on top of the API.</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Compliance Requirement</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data protection standard does our industry require?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Regulated verticals (financial services, healthcare, legal) have non-negotiable data handling requirements. All three platforms offer enterprise-grade compliance, but the configuration requirements and contractual protections differ materially. See Part Two for vertical-specific guidance.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Commercial Treatment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this vendor reward our existing spend?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and Google both offer favorable commercial terms -- discounted licensing, bundled AI access, and preferred pricing -- to organizations that commit to their full platform stack. This is a legitimate commercial reason to consolidate on their AI offering rather than purchasing a standalone AI tool.</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Build vs. Use</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 we need to use AI, or build with it?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Enterprise API is the right choice when your team intends to build custom workflows, automate business processes with agents, or integrate AI into your own products. Copilot and Gemini for Workspace are the right choice when your team needs to use AI inside existing applications without building infrastructure.</w:t>
            </w:r>
          </w:p>
        </w:tc>
      </w:tr>
    </w:tbl>
    <w:p>
      <w:pPr>
        <w:spacing w:after="80" w:before="80"/>
      </w:pPr>
      <w:r>
        <w:t xml:space="preserve"/>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The Three Platforms: What Each One Is and Is Not</w:t>
      </w:r>
    </w:p>
    <w:p>
      <w:pPr>
        <w:spacing w:after="60" w:before="60"/>
      </w:pPr>
      <w:r>
        <w:rPr>
          <w:rFonts w:ascii="Arial" w:cs="Arial" w:eastAsia="Arial" w:hAnsi="Arial"/>
          <w:sz w:val="22"/>
          <w:szCs w:val="22"/>
        </w:rPr>
        <w:t xml:space="preserve">The following summaries are written for executives and operations leaders, not technologists. They describe what each platform actually does in a business context, what its compliance profile looks like, and the honest commercial trade-offs of each.</w:t>
      </w:r>
    </w:p>
    <w:p>
      <w:pPr>
        <w:spacing w:after="80" w:before="80"/>
      </w:pPr>
      <w:r>
        <w:t xml:space="preserve"/>
      </w:r>
    </w:p>
    <w:p>
      <w:pPr>
        <w:shd w:fill="1F4E79" w:val="clear"/>
        <w:spacing w:after="60" w:before="200"/>
      </w:pPr>
      <w:r>
        <w:rPr>
          <w:rFonts w:ascii="Arial" w:cs="Arial" w:eastAsia="Arial" w:hAnsi="Arial"/>
          <w:b/>
          <w:bCs/>
          <w:color w:val="FFFFFF"/>
          <w:sz w:val="26"/>
          <w:szCs w:val="26"/>
        </w:rPr>
        <w:t xml:space="preserve">  Claude by Anthropic  |  Our Primary Recommendation</w:t>
      </w:r>
    </w:p>
    <w:p>
      <w:pPr>
        <w:spacing w:after="80" w:before="80"/>
      </w:pPr>
      <w:r>
        <w:t xml:space="preserve"/>
      </w:r>
    </w:p>
    <w:p>
      <w:pPr>
        <w:spacing w:after="60" w:before="60"/>
      </w:pPr>
      <w:r>
        <w:rPr>
          <w:rFonts w:ascii="Arial" w:cs="Arial" w:eastAsia="Arial" w:hAnsi="Arial"/>
          <w:sz w:val="22"/>
          <w:szCs w:val="22"/>
        </w:rPr>
        <w:t xml:space="preserve">Claude is a frontier AI model built by Anthropic, a Public Benefit Corporation founded by former OpenAI safety researchers. It is available as a chat interface (claude.ai), a team or enterprise workspace (Claude Enterprise), and a developer API (the Claude Platform).</w:t>
      </w:r>
    </w:p>
    <w:p>
      <w:pPr>
        <w:spacing w:after="80" w:before="80"/>
      </w:pPr>
      <w:r>
        <w:t xml:space="preserve"/>
      </w:r>
    </w:p>
    <w:p>
      <w:pPr>
        <w:spacing w:after="60" w:before="60"/>
      </w:pPr>
      <w:r>
        <w:rPr>
          <w:rFonts w:ascii="Arial" w:cs="Arial" w:eastAsia="Arial" w:hAnsi="Arial"/>
          <w:sz w:val="22"/>
          <w:szCs w:val="22"/>
        </w:rPr>
        <w:t xml:space="preserve">Why we lead with Claude: In our experience, Claude consistently produces the most nuanced, judgment-aware outputs on complex business problems -- particularly in writing, analysis, and structured reasoning. Anthropic's focus on safety and reliability makes it the most defensible choice for organizations where the quality and accuracy of AI output carries professional or regulatory weight.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Claude Detail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Best For</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 analysis, long-form writing, structured reasoning, building AI workflows and agents, regulated-industry deployments requiring strong compliance architecture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Not Ideal For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Teams who want AI embedded directly inside Microsoft Office apps or Google Workspace apps without a separate tool -- Copilot or Gemini are better for that embedded experience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Consumer Plans (Free, Pro, Max)</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 use. Not appropriate for any business or regulated use case. Consumer data was subject to a training opt-in policy change in August 2025 -- verify your account status if staff use personal accounts.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Team Plans (5-150 seats)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workspace with admin controls, no model training on your data by default. Team Standard: $25/seat/month (monthly) or $20/seat/month (annual). Team Premium: $125/seat/month (monthly) or $100/seat/month (annual). Seat fee includes usage up to plan limits; usage credits can be enabled for overages. Good for SMBs without formal compliance requirements -- Enterprise is required for audit logs, SCIM, Compliance API, and HIPAA readiness.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Enterprise Plan (annual, custom)</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Central SSO/SCIM, configurable data retention, Compliance API with activity logs, HIPAA-ready BAA (sales-assisted path only), Zero Data Retention (ZDR) available, 500K token context window on select models, covers Claude Code and Cowork under one agreement. Self-serve entry starts at $20/seat/month for platform access -- all usage is billed additionally at standard API token rates on top of that fee, so actual all-in cost scales with consumption volume. Sales-assisted Enterprise offers negotiated committed spend with custom terms. Important: BAAs executed before December 2, 2025 cover API usage only and do not extend to the HIPAA-ready Enterprise plan -- firms with legacy API BAAs need a new agreement to access Enterprise compliance features.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API / Developer Platform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Metered by token. Claude Sonnet 4.6 at $3/$15 per million input/output tokens. Opus 4.7 at $5/$25. Haiku 4.5 at $1/$5. Batch API at 50% discount. 7-day API log retention by default (reduced from 30 days in September 2025), data never used for training.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Compliance Highlights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Data Retention (ZDR): inputs and outputs not stored at rest after response is returned, available on Enterprise and qualifying API arrangements (self-serve and sales-assisted). HIPAA BAA: available through sales-assisted path only; requires separate agreement from standard Enterprise plan purchase; plan 4-8 weeks for execution. SOC 2 Type II, ISO 27001. Configurable data residency. Anthropic's PBC legal structure means the board can balance safety obligations against commercial returns -- a compliance differentiator cited by regulated-industry buyers. CRITICAL NOTE FOR REGULATED BUYERS: Claude Code beta features (Web, Desktop, Review, Security, Computer Use) are incompatible with ZDR and cannot be covered under the BAA under any configuration. If your team uses Claude Code in workflows that may touch client or patient data, confirm with Anthropic which Code surfaces are in scope before deployment.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Commercial Fit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fit when your team does not have a deep Microsoft 365 or Google Workspace dependency, OR when you need API access to build workflows, OR when your compliance requirements demand the most transparent, configurable data handling available.</w:t>
            </w:r>
          </w:p>
        </w:tc>
      </w:tr>
    </w:tbl>
    <w:p>
      <w:pPr>
        <w:spacing w:after="80" w:before="80"/>
      </w:pPr>
      <w:r>
        <w:t xml:space="preserve"/>
      </w:r>
    </w:p>
    <w:p>
      <w:pPr>
        <w:shd w:fill="1F5C5C" w:val="clear"/>
        <w:spacing w:after="60" w:before="200"/>
      </w:pPr>
      <w:r>
        <w:rPr>
          <w:rFonts w:ascii="Arial" w:cs="Arial" w:eastAsia="Arial" w:hAnsi="Arial"/>
          <w:b/>
          <w:bCs/>
          <w:color w:val="FFFFFF"/>
          <w:sz w:val="26"/>
          <w:szCs w:val="26"/>
        </w:rPr>
        <w:t xml:space="preserve">  Microsoft 365 Copilot  |  Recommended When: M365 Is Your Core Platform</w:t>
      </w:r>
    </w:p>
    <w:p>
      <w:pPr>
        <w:spacing w:after="80" w:before="80"/>
      </w:pPr>
      <w:r>
        <w:t xml:space="preserve"/>
      </w:r>
    </w:p>
    <w:p>
      <w:pPr>
        <w:spacing w:after="60" w:before="60"/>
      </w:pPr>
      <w:r>
        <w:rPr>
          <w:rFonts w:ascii="Arial" w:cs="Arial" w:eastAsia="Arial" w:hAnsi="Arial"/>
          <w:sz w:val="22"/>
          <w:szCs w:val="22"/>
        </w:rPr>
        <w:t xml:space="preserve">Microsoft 365 Copilot is AI embedded directly inside the Microsoft 365 applications your team already uses every day: Outlook, Word, Excel, PowerPoint, Teams, SharePoint, and OneNote. It is powered by a combination of Microsoft's own models and OpenAI's GPT-4 family, accessed through the Microsoft Graph (the data layer connecting all your M365 content).</w:t>
      </w:r>
    </w:p>
    <w:p>
      <w:pPr>
        <w:spacing w:after="80" w:before="80"/>
      </w:pPr>
      <w:r>
        <w:t xml:space="preserve"/>
      </w:r>
    </w:p>
    <w:p>
      <w:pPr>
        <w:spacing w:after="60" w:before="60"/>
      </w:pPr>
      <w:r>
        <w:rPr>
          <w:rFonts w:ascii="Arial" w:cs="Arial" w:eastAsia="Arial" w:hAnsi="Arial"/>
          <w:sz w:val="22"/>
          <w:szCs w:val="22"/>
        </w:rPr>
        <w:t xml:space="preserve">The commercial case is compelling: if your organization has committed to Microsoft 365, Copilot is not a separate AI product you are evaluating. It is an extension of infrastructure you already own. Microsoft offers favorable commercial treatment -- including bundled licensing, committed spend discounts, and Azure credits -- to organizations that add Copilot to existing enterprise agreements.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Copilot Detail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Best For</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Organizations running Microsoft 365 as their primary email, calendar, documents, and communications platform. Copilot delivers the most friction-free AI experience when it surfaces inside tools already open on every screen.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Not Ideal For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Organizations that are not Microsoft 365 customers. The value proposition is almost entirely tied to the M365 ecosystem -- Copilot without M365 is significantly less compelling than Claude or Gemini.</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Licensing (as of mid-2026)</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Copilot is an add-on to qualifying M365 plans -- not a standalone product. The enterprise add-on (for E3, E5, Business Premium plans) is $30/user/month annual. Combined with the required base license, actual all-in cost runs $66-$87/user/month for most enterprise buyers (E3 at $36 + $30 Copilot = $66; E5 at $57 + $30 = $87). For SMBs under 300 users on Business plans, a separate Microsoft 365 Copilot Business tier is available at $18/user/month (promotional price through December 31, 2026; standard price $21). Microsoft enterprise agreements provide volume discounts on the add-on, and existing M365 customers should negotiate Copilot into their renewal. Organizations on legacy Office 365 E1 or E3 plans must upgrade to Microsoft 365 E3 before Copilot can be added -- that upgrade cost often exceeds the Copilot add-on itself and should be budgeted accordingly.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Key Compliance Features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stays within your Microsoft 365 tenant -- your prompts and outputs are not sent to a shared external environment. Microsoft Purview provides audit logging, eDiscovery, and retention policies over Copilot interactions. HIPAA BAA eligibility (when M365 is covered). SOC 2 Type II, ISO 27001, FedRAMP High. Data residency commitments: M365 Copilot is an EU Data Boundary service for EU customers. In-country processing (US, Canada, Germany, UK, and others) rolling out through 2026 for government and regulated industries.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Critical Configuration Note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Copilot surfaces content based on existing Microsoft 365 permissions. If SharePoint permissions are misconfigured -- a condition EPC Group's audits find in 60-80% of environments -- Copilot will expose content that users are technically authorized to see but should not see in practice. A SharePoint permission audit before Copilot deployment is not optional in regulated environments.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Compliance Fit for Regulated Verticals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services and insurance firms using M365 can deploy Copilot under HIPAA BAA eligibility and configure Microsoft Purview to capture AI-generated content that meets the definition of a regulated record under SEC Rule 204-2 and FINRA Rule 4511. The scope of what must be retained is determined by content and context -- not by the tool -- so involve compliance counsel in the configuration decision. Configuration is required; compliant archiving does not happen automatically.</w:t>
            </w:r>
          </w:p>
        </w:tc>
      </w:tr>
    </w:tbl>
    <w:p>
      <w:pPr>
        <w:spacing w:after="80" w:before="80"/>
      </w:pPr>
      <w:r>
        <w:t xml:space="preserve"/>
      </w:r>
    </w:p>
    <w:p>
      <w:pPr>
        <w:shd w:fill="4A235A" w:val="clear"/>
        <w:spacing w:after="60" w:before="200"/>
      </w:pPr>
      <w:r>
        <w:rPr>
          <w:rFonts w:ascii="Arial" w:cs="Arial" w:eastAsia="Arial" w:hAnsi="Arial"/>
          <w:b/>
          <w:bCs/>
          <w:color w:val="FFFFFF"/>
          <w:sz w:val="26"/>
          <w:szCs w:val="26"/>
        </w:rPr>
        <w:t xml:space="preserve">  Google Gemini for Workspace  |  Recommended When: Google Workspace Is Your Core Platform</w:t>
      </w:r>
    </w:p>
    <w:p>
      <w:pPr>
        <w:spacing w:after="80" w:before="80"/>
      </w:pPr>
      <w:r>
        <w:t xml:space="preserve"/>
      </w:r>
    </w:p>
    <w:p>
      <w:pPr>
        <w:spacing w:after="60" w:before="60"/>
      </w:pPr>
      <w:r>
        <w:rPr>
          <w:rFonts w:ascii="Arial" w:cs="Arial" w:eastAsia="Arial" w:hAnsi="Arial"/>
          <w:sz w:val="22"/>
          <w:szCs w:val="22"/>
        </w:rPr>
        <w:t xml:space="preserve">Google Gemini for Workspace is AI embedded inside Gmail, Google Docs, Sheets, Slides, Meet, and Drive. In January 2025, Google removed the standalone Gemini add-on and folded AI features directly into Workspace tiers, meaning the question for Google Workspace customers is not 'should we buy Gemini?' but 'which Workspace tier carries the compliance controls we need?'</w:t>
      </w:r>
    </w:p>
    <w:p>
      <w:pPr>
        <w:spacing w:after="80" w:before="80"/>
      </w:pPr>
      <w:r>
        <w:t xml:space="preserve"/>
      </w:r>
    </w:p>
    <w:p>
      <w:pPr>
        <w:spacing w:after="60" w:before="60"/>
      </w:pPr>
      <w:r>
        <w:rPr>
          <w:rFonts w:ascii="Arial" w:cs="Arial" w:eastAsia="Arial" w:hAnsi="Arial"/>
          <w:sz w:val="22"/>
          <w:szCs w:val="22"/>
        </w:rPr>
        <w:t xml:space="preserve">Like Copilot for M365 customers, Gemini's commercial case rests on ecosystem consolidation. Google actively rewards organizations that deepen their Workspace commitment with favorable commercial treatment at renewal, including Gemini capability bundled into the base seat price.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Gemini Detail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Best For</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Organizations running Google Workspace as their primary productivity suite. Gemini in Docs, Gmail, Sheets, and Meet is the lowest-friction AI deployment available to Workspace customers because it requires no new tool adoption.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Not Ideal For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Organizations not on Google Workspace. The bundled Gemini value is inseparable from the Workspace subscription. Non-Workspace organizations evaluating a standalone Gemini product should compare directly against Claude and Copilot on capability and compliance, not ecosystem fit.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Tier Structure (as of mid-2026)</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Standard and Plus include Gemini in all Workspace apps. Enterprise Standard and Plus add Gemini Advanced (Gemini 3.1 Pro access), longer context (1M tokens), enterprise data protection guarantees, and Vault for legal hold and eDiscovery. Data-residency controls (required for regulated industries) are an Enterprise-tier feature. Enterprise pricing is custom-quoted; independent estimates place it at $23-$36/user/month.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Key Compliance Features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residency (US, EU, global multi-regions) available at Enterprise tier. ACL-based access controls ensure users only retrieve content they are authorized to see. Conversation history logs retained for 60 days to support compliance audits. SOC 1/2/3, ISO 27001, ISO 42001, FedRAMP High, HITRUST. HIPAA BAA eligibility. BYOK encryption support planned for H1 2026. Gemini Enterprise now supports MCP server connections for secure internal data access.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Critical Configuration Note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Like Copilot, Gemini's ACL ingestion respects source permissions -- but only for connectors that have been properly configured. A permissions audit of Drive, Shared Drives, and third-party connectors is the prerequisite step before regulated deployment.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Compliance Fit for Regulated Verticals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services firms on Workspace should confirm Enterprise Plus tier (required for DLP controls over AI output) and configure Vault to capture Gemini interactions under applicable recordkeeping rules. The 60-day Gemini conversation log is a starting point, not a substitute for a formal prompt-payload archiving workflow.</w:t>
            </w:r>
          </w:p>
        </w:tc>
      </w:tr>
    </w:tbl>
    <w:p>
      <w:pPr>
        <w:spacing w:after="80" w:before="80"/>
      </w:pPr>
      <w:r>
        <w:t xml:space="preserve"/>
      </w:r>
    </w:p>
    <w:p>
      <w:pPr>
        <w:pBdr>
          <w:bottom w:val="single" w:color="2E75B6" w:sz="6" w:space="1"/>
        </w:pBd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How to Select Your Commercial AI Platform: A Decision Guide</w:t>
      </w:r>
    </w:p>
    <w:p>
      <w:pPr>
        <w:spacing w:after="60" w:before="60"/>
      </w:pPr>
      <w:r>
        <w:rPr>
          <w:rFonts w:ascii="Arial" w:cs="Arial" w:eastAsia="Arial" w:hAnsi="Arial"/>
          <w:sz w:val="22"/>
          <w:szCs w:val="22"/>
        </w:rPr>
        <w:t xml:space="preserve">Use the questions below as a decision tree. Most organizations will arrive at a clear answer by the third question.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30"/>
        <w:gridCol w:w="2730"/>
      </w:tblGrid>
      <w:tr>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If Yes</w:t>
            </w:r>
          </w:p>
        </w:tc>
        <w:tc>
          <w:tcPr>
            <w:tcW w:type="dxa" w:w="2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If No</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 Is Microsoft 365 your primary email, documents, and communications platform?</w:t>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with Microsoft 365 Copilot. The productivity gain from AI inside tools already in use every day is your highest-ROI starting point. Evaluate Claude API separately for complex reasoning or agent-building needs.</w:t>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Continue to Question 2.</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 Is Google Workspace your primary email, documents, and communications platform?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with Gemini for Workspace (Enterprise Standard or Plus tier for regulated environments). Evaluate Claude API separately if you need frontier reasoning or workflow automation beyond what Gemini provides.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Continue to Question 3.</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3. Does your organization operate in a regulated vertical (financial services, healthcare, legal)?</w:t>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Evaluate Claude Enterprise or API first. Anthropic's Zero Data Retention, configurable audit logging, HIPAA BAA, and PBC legal structure give compliance teams the most transparent and defensible foundation. Co-deploy with whatever productivity suite you use for day-to-day work.</w:t>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Evaluate Claude Team or Enterprise based on team size and use case depth. Claude's frontier reasoning capability is the highest-value starting point for non-ecosystem, non-regulated organizations.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 Do you need to build AI workflows, agents, or integrations into your own processes or products?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 Claude API is the right choice regardless of your ecosystem. Copilot and Gemini are consumption tools; the Claude API is a building platform. Many organizations run both: Copilot or Gemini for productivity tasks, Claude API for automation and agent work.</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with the consumption tool that fits your ecosystem (Copilot or Gemini). Return to the Claude API evaluation when a specific workflow automation need emerges.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2E75B6"/>
                <w:sz w:val="20"/>
                <w:szCs w:val="20"/>
              </w:rPr>
              <w:t xml:space="preserve">Using more than one platform is normal and increasingly common. The pattern that produces the most value for SMBs with 25-150 employees: Copilot or Gemini for day-to-day productivity inside existing tools, Claude Enterprise or API for complex analysis and workflow automation. These are complementary, not competing choices.</w:t>
            </w:r>
          </w:p>
        </w:tc>
      </w:tr>
    </w:tbl>
    <w:p>
      <w:pPr>
        <w:pBdr>
          <w:bottom w:val="single" w:color="2E75B6" w:sz="6" w:space="1"/>
        </w:pBd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Part Two: Enterprise API and Compliance Guidance for Regulated Verticals</w:t>
      </w:r>
    </w:p>
    <w:p>
      <w:pPr>
        <w:spacing w:after="60" w:before="60"/>
      </w:pPr>
      <w:r>
        <w:rPr>
          <w:rFonts w:ascii="Arial" w:cs="Arial" w:eastAsia="Arial" w:hAnsi="Arial"/>
          <w:sz w:val="22"/>
          <w:szCs w:val="22"/>
        </w:rPr>
        <w:t xml:space="preserve">For SMBs operating in regulated industries, commercial AI adoption is not just a productivity decision -- it is a compliance decision. The good news: enterprise-tier versions of all three major platforms now offer the technical controls regulated industries require. The risk: consumer-tier and team-tier versions of these same products do NOT meet those standards, and the gap between tiers is significant.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Arial" w:cs="Arial" w:eastAsia="Arial" w:hAnsi="Arial"/>
                <w:color w:val="641E16"/>
                <w:sz w:val="20"/>
                <w:szCs w:val="20"/>
              </w:rPr>
              <w:t xml:space="preserve">Shadow AI -- staff using personal Claude, ChatGPT, or Gemini accounts for work involving client data -- is the primary AI compliance failure mode in regulated industries today. Consumer accounts offer no data retention guarantees, no audit logs, and in many cases actively use inputs for model training. Establishing an enterprise-tier AI policy and deployment is not optional for regulated SMBs; it is the control that closes the Shadow AI exposure.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The Three Non-Negotiable Controls for Regulated AI Deployment</w:t>
      </w:r>
    </w:p>
    <w:p>
      <w:pPr>
        <w:spacing w:after="60" w:before="60"/>
      </w:pPr>
      <w:r>
        <w:rPr>
          <w:rFonts w:ascii="Arial" w:cs="Arial" w:eastAsia="Arial" w:hAnsi="Arial"/>
          <w:sz w:val="22"/>
          <w:szCs w:val="22"/>
        </w:rPr>
        <w:t xml:space="preserve">Regardless of which platform you select, regulated verticals require these three controls before any staff member processes client or patient data through an AI tool. The governance architecture below reflects the technical requirements of SEC Regulation S-P, FINRA Rules 3110 and 4511, SEC Rule 204-2, HIPAA, and parallel state-level financial services supervision. The specific scope of what AI-generated content must be retained as a regulated record is determined by content and context under existing rules -- your compliance counsel must make that determination for your firm. The controls below create the infrastructure for defensible governance regardless of where that scope determination lands.</w:t>
      </w:r>
    </w:p>
    <w:p>
      <w:pPr>
        <w:spacing w:after="80" w:before="80"/>
      </w:pPr>
      <w:r>
        <w:t xml:space="preserve"/>
      </w:r>
    </w:p>
    <w:p>
      <w:pPr>
        <w:spacing w:after="60" w:before="160"/>
      </w:pPr>
      <w:r>
        <w:rPr>
          <w:rFonts w:ascii="Arial" w:cs="Arial" w:eastAsia="Arial" w:hAnsi="Arial"/>
          <w:b/>
          <w:bCs/>
          <w:color w:val="333333"/>
          <w:sz w:val="23"/>
          <w:szCs w:val="23"/>
        </w:rPr>
        <w:t xml:space="preserve">Control 1: Zero-Retention or Contractually Protected Data Handling</w:t>
      </w:r>
    </w:p>
    <w:p>
      <w:pPr>
        <w:spacing w:after="60" w:before="60"/>
      </w:pPr>
      <w:r>
        <w:rPr>
          <w:rFonts w:ascii="Arial" w:cs="Arial" w:eastAsia="Arial" w:hAnsi="Arial"/>
          <w:sz w:val="22"/>
          <w:szCs w:val="22"/>
        </w:rPr>
        <w:t xml:space="preserve">Consumer AI tools retain your prompts and outputs. Enterprise contracts change this. Before deploying any AI tool with client-facing data, confirm in writing that:</w:t>
      </w:r>
    </w:p>
    <w:p>
      <w:pPr>
        <w:pStyle w:val="ListParagraph"/>
        <w:numPr>
          <w:ilvl w:val="0"/>
          <w:numId w:val="2"/>
        </w:numPr>
        <w:spacing w:after="40" w:before="40"/>
      </w:pPr>
      <w:r>
        <w:rPr>
          <w:rFonts w:ascii="Arial" w:cs="Arial" w:eastAsia="Arial" w:hAnsi="Arial"/>
          <w:sz w:val="22"/>
          <w:szCs w:val="22"/>
        </w:rPr>
        <w:t xml:space="preserve">Your inputs and outputs are not used to train the vendor's models</w:t>
      </w:r>
    </w:p>
    <w:p>
      <w:pPr>
        <w:pStyle w:val="ListParagraph"/>
        <w:numPr>
          <w:ilvl w:val="0"/>
          <w:numId w:val="2"/>
        </w:numPr>
        <w:spacing w:after="40" w:before="40"/>
      </w:pPr>
      <w:r>
        <w:rPr>
          <w:rFonts w:ascii="Arial" w:cs="Arial" w:eastAsia="Arial" w:hAnsi="Arial"/>
          <w:sz w:val="22"/>
          <w:szCs w:val="22"/>
        </w:rPr>
        <w:t xml:space="preserve">Data retention is either zero (nothing stored after response) or configurable to your firm's retention policy</w:t>
      </w:r>
    </w:p>
    <w:p>
      <w:pPr>
        <w:pStyle w:val="ListParagraph"/>
        <w:numPr>
          <w:ilvl w:val="0"/>
          <w:numId w:val="2"/>
        </w:numPr>
        <w:spacing w:after="40" w:before="40"/>
      </w:pPr>
      <w:r>
        <w:rPr>
          <w:rFonts w:ascii="Arial" w:cs="Arial" w:eastAsia="Arial" w:hAnsi="Arial"/>
          <w:sz w:val="22"/>
          <w:szCs w:val="22"/>
        </w:rPr>
        <w:t xml:space="preserve">Any abuse monitoring or trust-and-safety review is explicitly scoped and disclosed</w:t>
      </w:r>
    </w:p>
    <w:p>
      <w:pPr>
        <w:pStyle w:val="ListParagraph"/>
        <w:numPr>
          <w:ilvl w:val="0"/>
          <w:numId w:val="2"/>
        </w:numPr>
        <w:spacing w:after="40" w:before="40"/>
      </w:pPr>
      <w:r>
        <w:rPr>
          <w:rFonts w:ascii="Arial" w:cs="Arial" w:eastAsia="Arial" w:hAnsi="Arial"/>
          <w:sz w:val="22"/>
          <w:szCs w:val="22"/>
        </w:rPr>
        <w:t xml:space="preserve">Data never co-mingles with other corporate tenants</w:t>
      </w:r>
    </w:p>
    <w:p>
      <w:pPr>
        <w:spacing w:after="80" w:before="80"/>
      </w:pPr>
      <w:r>
        <w:t xml:space="preserve"/>
      </w:r>
    </w:p>
    <w:p>
      <w:pPr>
        <w:spacing w:after="60" w:before="60"/>
      </w:pPr>
      <w:r>
        <w:rPr>
          <w:rFonts w:ascii="Arial" w:cs="Arial" w:eastAsia="Arial" w:hAnsi="Arial"/>
          <w:sz w:val="22"/>
          <w:szCs w:val="22"/>
        </w:rPr>
        <w:t xml:space="preserve">Claude Enterprise / API Zero Data Retention (ZDR): inputs and outputs are not stored at rest after the response is returned, except as required by law or to combat misuse. ZDR is available on qualifying Enterprise and API arrangements and is confirmed in account settings under Privacy Controls.</w:t>
      </w:r>
    </w:p>
    <w:p>
      <w:pPr>
        <w:spacing w:after="80" w:before="80"/>
      </w:pPr>
      <w:r>
        <w:t xml:space="preserve"/>
      </w:r>
    </w:p>
    <w:p>
      <w:pPr>
        <w:spacing w:after="60" w:before="60"/>
      </w:pPr>
      <w:r>
        <w:rPr>
          <w:rFonts w:ascii="Arial" w:cs="Arial" w:eastAsia="Arial" w:hAnsi="Arial"/>
          <w:sz w:val="22"/>
          <w:szCs w:val="22"/>
        </w:rPr>
        <w:t xml:space="preserve">Copilot: Data stays within your M365 tenant. Prompts and responses are not used to train models. Microsoft Purview must be configured to capture audit logs -- this does not happen by default.</w:t>
      </w:r>
    </w:p>
    <w:p>
      <w:pPr>
        <w:spacing w:after="80" w:before="80"/>
      </w:pPr>
      <w:r>
        <w:t xml:space="preserve"/>
      </w:r>
    </w:p>
    <w:p>
      <w:pPr>
        <w:spacing w:after="60" w:before="60"/>
      </w:pPr>
      <w:r>
        <w:rPr>
          <w:rFonts w:ascii="Arial" w:cs="Arial" w:eastAsia="Arial" w:hAnsi="Arial"/>
          <w:sz w:val="22"/>
          <w:szCs w:val="22"/>
        </w:rPr>
        <w:t xml:space="preserve">Gemini Enterprise: Conversation history is retained for 60 days in Gemini's systems for compliance audit support. Data is not used for model training. Configurable data residency at Enterprise tier.</w:t>
      </w:r>
    </w:p>
    <w:p>
      <w:pPr>
        <w:spacing w:after="80" w:before="80"/>
      </w:pPr>
      <w:r>
        <w:t xml:space="preserve"/>
      </w:r>
    </w:p>
    <w:p>
      <w:pPr>
        <w:spacing w:after="60" w:before="160"/>
      </w:pPr>
      <w:r>
        <w:rPr>
          <w:rFonts w:ascii="Arial" w:cs="Arial" w:eastAsia="Arial" w:hAnsi="Arial"/>
          <w:b/>
          <w:bCs/>
          <w:color w:val="333333"/>
          <w:sz w:val="23"/>
          <w:szCs w:val="23"/>
        </w:rPr>
        <w:t xml:space="preserve">Control 2: Scoped Access and Permission Inheritance</w:t>
      </w:r>
    </w:p>
    <w:p>
      <w:pPr>
        <w:spacing w:after="60" w:before="60"/>
      </w:pPr>
      <w:r>
        <w:rPr>
          <w:rFonts w:ascii="Arial" w:cs="Arial" w:eastAsia="Arial" w:hAnsi="Arial"/>
          <w:sz w:val="22"/>
          <w:szCs w:val="22"/>
        </w:rPr>
        <w:t xml:space="preserve">An AI tool that can see all your firm's data is a liability. Properly configured enterprise AI inherits the access permissions of the user operating it -- not a global admin view. Confirm that your deployment:</w:t>
      </w:r>
    </w:p>
    <w:p>
      <w:pPr>
        <w:pStyle w:val="ListParagraph"/>
        <w:numPr>
          <w:ilvl w:val="0"/>
          <w:numId w:val="2"/>
        </w:numPr>
        <w:spacing w:after="40" w:before="40"/>
      </w:pPr>
      <w:r>
        <w:rPr>
          <w:rFonts w:ascii="Arial" w:cs="Arial" w:eastAsia="Arial" w:hAnsi="Arial"/>
          <w:sz w:val="22"/>
          <w:szCs w:val="22"/>
        </w:rPr>
        <w:t xml:space="preserve">Binds AI data retrieval to the user's existing role-based or attribute-based access controls (RBAC/ABAC) from your identity provider</w:t>
      </w:r>
    </w:p>
    <w:p>
      <w:pPr>
        <w:pStyle w:val="ListParagraph"/>
        <w:numPr>
          <w:ilvl w:val="0"/>
          <w:numId w:val="2"/>
        </w:numPr>
        <w:spacing w:after="40" w:before="40"/>
      </w:pPr>
      <w:r>
        <w:rPr>
          <w:rFonts w:ascii="Arial" w:cs="Arial" w:eastAsia="Arial" w:hAnsi="Arial"/>
          <w:sz w:val="22"/>
          <w:szCs w:val="22"/>
        </w:rPr>
        <w:t xml:space="preserve">Cannot cross-reference or retrieve records outside the active session's authorized scope</w:t>
      </w:r>
    </w:p>
    <w:p>
      <w:pPr>
        <w:pStyle w:val="ListParagraph"/>
        <w:numPr>
          <w:ilvl w:val="0"/>
          <w:numId w:val="2"/>
        </w:numPr>
        <w:spacing w:after="40" w:before="40"/>
      </w:pPr>
      <w:r>
        <w:rPr>
          <w:rFonts w:ascii="Arial" w:cs="Arial" w:eastAsia="Arial" w:hAnsi="Arial"/>
          <w:sz w:val="22"/>
          <w:szCs w:val="22"/>
        </w:rPr>
        <w:t xml:space="preserve">Has been preceded by a permissions audit of the data sources it will access (SharePoint, Drive, CRM, DMS)</w:t>
      </w:r>
    </w:p>
    <w:p>
      <w:pPr>
        <w:spacing w:after="80" w:before="80"/>
      </w:pPr>
      <w:r>
        <w:t xml:space="preserve"/>
      </w:r>
    </w:p>
    <w:p>
      <w:pPr>
        <w:spacing w:after="60" w:before="160"/>
      </w:pPr>
      <w:r>
        <w:rPr>
          <w:rFonts w:ascii="Arial" w:cs="Arial" w:eastAsia="Arial" w:hAnsi="Arial"/>
          <w:b/>
          <w:bCs/>
          <w:color w:val="333333"/>
          <w:sz w:val="23"/>
          <w:szCs w:val="23"/>
        </w:rPr>
        <w:t xml:space="preserve">Control 3: Prompt-Payload Archiving and Audit Logging</w:t>
      </w:r>
    </w:p>
    <w:p>
      <w:pPr>
        <w:spacing w:after="60" w:before="60"/>
      </w:pPr>
      <w:r>
        <w:rPr>
          <w:rFonts w:ascii="Arial" w:cs="Arial" w:eastAsia="Arial" w:hAnsi="Arial"/>
          <w:sz w:val="22"/>
          <w:szCs w:val="22"/>
        </w:rPr>
        <w:t xml:space="preserve">As of mid-2026, neither the SEC nor any SRO has promulgated a categorical rule specifically requiring retention of AI prompts and responses in all cases. However, Goodwin Procter's December 2025 analysis of SEC 2026 exam priorities confirms regulators are treating AI governance frameworks and compliance program quality as primary examination focus areas. The prudent governance posture -- and the one that withstands examination scrutiny -- is to treat any AI-generated content that relates to recommendations, advice, client communications, or securities transactions as a potential written business communication subject to retention under SEC Rule 204-2 (RIAs) and FINRA Rule 4511 / Exchange Act Rule 17a-4(f) (broker-dealers). Legal counsel review is required before your firm establishes its specific AI recordkeeping policy.</w:t>
      </w:r>
    </w:p>
    <w:p>
      <w:pPr>
        <w:spacing w:after="80" w:before="80"/>
      </w:pPr>
      <w:r>
        <w:t xml:space="preserve"/>
      </w:r>
    </w:p>
    <w:p>
      <w:pPr>
        <w:spacing w:after="60" w:before="60"/>
      </w:pPr>
      <w:r>
        <w:rPr>
          <w:rFonts w:ascii="Arial" w:cs="Arial" w:eastAsia="Arial" w:hAnsi="Arial"/>
          <w:sz w:val="22"/>
          <w:szCs w:val="22"/>
        </w:rPr>
        <w:t xml:space="preserve">One important nuance from Cooley's April 2026 analysis: retaining everything is not automatically the conservative approach. Transcripts that are not required records give examiners more material to scrutinize without adding compliance credit. The discipline is to retain what applies to business activity -- and to have a documented rationale for what is and is not retained.</w:t>
      </w:r>
    </w:p>
    <w:p>
      <w:pPr>
        <w:spacing w:after="80" w:before="80"/>
      </w:pPr>
      <w:r>
        <w:t xml:space="preserve"/>
      </w:r>
    </w:p>
    <w:p>
      <w:pPr>
        <w:spacing w:after="60" w:before="60"/>
      </w:pPr>
      <w:r>
        <w:rPr>
          <w:rFonts w:ascii="Arial" w:cs="Arial" w:eastAsia="Arial" w:hAnsi="Arial"/>
          <w:sz w:val="22"/>
          <w:szCs w:val="22"/>
        </w:rPr>
        <w:t xml:space="preserve">A compliant archiving workflow for records that do meet the retention threshold captures: the full user prompt, any injected context or documents, and the model output -- in a tamper-evident, time-stamped record. System logs or basic chat history are insufficient for records subject to SEC/FINRA requirements.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Claude Enterprise: Compliance API provides programmatic access to activity logs and chat histories. Activity Feed retains data for 6 years. Organization-level retention policy is configurable. Note: the $20/seat Enterprise fee covers platform access only -- all usage is billed additionally at standard API rates.</w:t>
      </w:r>
    </w:p>
    <w:p>
      <w:pPr>
        <w:pStyle w:val="ListParagraph"/>
        <w:numPr>
          <w:ilvl w:val="0"/>
          <w:numId w:val="2"/>
        </w:numPr>
        <w:spacing w:after="40" w:before="40"/>
      </w:pPr>
      <w:r>
        <w:rPr>
          <w:rFonts w:ascii="Arial" w:cs="Arial" w:eastAsia="Arial" w:hAnsi="Arial"/>
          <w:sz w:val="22"/>
          <w:szCs w:val="22"/>
        </w:rPr>
        <w:t xml:space="preserve">Copilot / Microsoft Purview: Copilot interactions can be captured under Purview's retention and eDiscovery framework for AI-generated content that relates to regulated business activity. Scope determination requires compliance counsel review. Configuration is required -- audit capture is not on by default.</w:t>
      </w:r>
    </w:p>
    <w:p>
      <w:pPr>
        <w:pStyle w:val="ListParagraph"/>
        <w:numPr>
          <w:ilvl w:val="0"/>
          <w:numId w:val="2"/>
        </w:numPr>
        <w:spacing w:after="40" w:before="40"/>
      </w:pPr>
      <w:r>
        <w:rPr>
          <w:rFonts w:ascii="Arial" w:cs="Arial" w:eastAsia="Arial" w:hAnsi="Arial"/>
          <w:sz w:val="22"/>
          <w:szCs w:val="22"/>
        </w:rPr>
        <w:t xml:space="preserve">Gemini Enterprise: 60-day conversation history log in Gemini's systems supports compliance audit workflows. Organizations whose counsel determines that AI-generated content qualifies as a regulated record under applicable rules must supplement with Google Vault configuration or a third-party archiving layer to meet longer retention periods.</w:t>
      </w:r>
    </w:p>
    <w:p>
      <w:pPr>
        <w:pBdr>
          <w:bottom w:val="single" w:color="2E75B6" w:sz="6" w:space="1"/>
        </w:pBd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Vertical-Specific Compliance Guidance by Platform</w:t>
      </w:r>
    </w:p>
    <w:p>
      <w:pPr>
        <w:spacing w:after="60" w:before="60"/>
      </w:pPr>
      <w:r>
        <w:rPr>
          <w:rFonts w:ascii="Arial" w:cs="Arial" w:eastAsia="Arial" w:hAnsi="Arial"/>
          <w:sz w:val="22"/>
          <w:szCs w:val="22"/>
        </w:rPr>
        <w:t xml:space="preserve">The following guidance applies to SMBs with 25-150 employees in each of the five verticals covered by this toolkit. It is informed by the framework in 'Scaling Trust: Wealth Advisors, AI and the Gen Z Market' and draws on 27 years of technology and compliance leadership experience in financial services.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Financial Services: RIAs, Insurance Agencies, Mortgage Brokers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2E75B6"/>
                <w:sz w:val="20"/>
                <w:szCs w:val="20"/>
              </w:rPr>
              <w:t xml:space="preserve">The Augmented Advisor principle: Use enterprise AI to automate the administrative substrate -- data synthesis, research, meeting prep, report formatting -- not to generate advice. AI is a force multiplier for advisor capacity, not a fiduciary replacement. Every AI-assisted output that reaches a client must bear a human advisor's review and attestation before delivery.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8"/>
        <w:gridCol w:w="2496"/>
        <w:gridCol w:w="2496"/>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Fit for Financial Services</w:t>
            </w:r>
          </w:p>
        </w:tc>
        <w:tc>
          <w:tcPr>
            <w:tcW w:type="dxa" w:w="249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Configuration Steps</w:t>
            </w:r>
          </w:p>
        </w:tc>
        <w:tc>
          <w:tcPr>
            <w:tcW w:type="dxa" w:w="249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Compliance Watch Items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Claude Enterprise / API</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Strongest compliance architecture. ZDR option, configurable retention, HIPAA BAA available (sales-assisted path; plan 4-8 weeks), PBC legal structure simplifies regulatory conversation. Best for firms without M365/Workspace dependency, or for API-based workflow automation alongside any productivity suite.</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Request ZDR arrangement or confirm 7-day API retention. 2. Sign DPA addendum. 3. Configure Compliance API for retention of AI-generated content relating to regulated business activity. 4. Enable SCIM for user provisioning from your IdP. 5. If deploying Claude Code: confirm which Code surfaces are covered under your BAA -- beta features (Web, Desktop, Review, Security, Computer Use) are incompatible with ZDR and cannot be covered.</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AI-generated client communications require compliance principal review (FINRA Rule 2210 / SEC Marketing Rule 206(4)-1). No client PII in consumer-tier accounts. Document AI use in Written Supervisory Procedures. BAAs executed before December 2, 2025 cover API only -- firms with legacy BAAs need a new agreement for Enterprise compliance features.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Microsoft 365 Copilot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fit for M365-invested firms. Stays within your tenant. Purview captures interactions under existing M365 compliance framework. FedRAMP High and HIPAA BAA eligibility.</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Run SharePoint permission audit before go-live. 2. Configure Purview retention policies to cover Copilot interactions. 3. Set sensitivity labels on client data repositories. 4. Enable Copilot interaction audit logging.</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AI-generated content relating to client advice or transactions should be treated as potentially subject to SEC 204-2 / FINRA 4511 retention requirements -- configure Purview accordingly and confirm scope with compliance counsel. Oversharing via misconfigured SharePoint is the primary operational risk.</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Gemini Enterprise Plus</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Viable for Workspace-invested firms. Enterprise Plus tier required (DLP controls over AI output). 60-day log retention requires supplementation for multi-year SEC/FINRA recordkeeping.</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Confirm Enterprise Plus (not Standard) tier. 2. Configure Google Vault to capture Gemini interactions. 3. Conduct permissions audit of Drive and connected data sources. 4. Review DLP policies for AI output.</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60-day native retention is insufficient for most SEC / FINRA retention requirements. Vault supplementation or third-party archiving required. Confirm BAA for any PHI-adjacent processing.</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Manufacturing and Logistics</w:t>
      </w:r>
    </w:p>
    <w:p>
      <w:pPr>
        <w:spacing w:after="60" w:before="60"/>
      </w:pPr>
      <w:r>
        <w:rPr>
          <w:rFonts w:ascii="Arial" w:cs="Arial" w:eastAsia="Arial" w:hAnsi="Arial"/>
          <w:sz w:val="22"/>
          <w:szCs w:val="22"/>
        </w:rPr>
        <w:t xml:space="preserve">Manufacturing SMBs face lower regulatory barriers to AI deployment than financial services, but have meaningful operational risk exposure: AI errors in production scheduling, supplier risk assessment, or safety documentation can have real-world consequences. The compliance focus here is operational accuracy and SOP integrity, not financial regulation.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Use Case</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 Priority</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Claude Enterprise / API</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 reasoning tasks: RFQ analysis, supplier risk assessment, production planning optimization, SOP drafting. API access for automating recurring document workflows.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stays inside your Claude organization. No client PII exposure risk for most use cases. Focus on hallucination mitigation: always require human review of AI-generated SOPs and safety documents.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Copilot (if M365)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Embedded productivity: meeting notes from Teams, Excel-based production data analysis, Word-based documentation. Best for operations teams already living in M365.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SharePoint permission audit. Define sensitivity labels for proprietary manufacturing specifications. Train staff on AI output review before documents are finalized.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Gemini (if Workspace)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productivity use cases as Copilot for M365, inside Google's environment. Sheets integration strong for data-heavy supply chain work.</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Permissions audit on Drive-based specifications and formulas. Enterprise Standard tier minimum for access controls.</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SaaS and Technology Startups</w:t>
      </w:r>
    </w:p>
    <w:p>
      <w:pPr>
        <w:spacing w:after="60" w:before="60"/>
      </w:pPr>
      <w:r>
        <w:rPr>
          <w:rFonts w:ascii="Arial" w:cs="Arial" w:eastAsia="Arial" w:hAnsi="Arial"/>
          <w:sz w:val="22"/>
          <w:szCs w:val="22"/>
        </w:rPr>
        <w:t xml:space="preserve">Technology companies are typically the most AI-capable organizations in this toolkit but often the least disciplined about commercial AI governance. The risk is not regulatory non-compliance -- it is IP leakage and competitive exposure from staff pasting proprietary code, product roadmaps, or customer data into consumer AI tools.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Use Case</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 Priority</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Claude Enterprise + API</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recommendation for most SaaS companies. Enterprise for non-technical staff productivity; API for engineers building AI features, automating product workflows, or deploying Claude Code for development acceleration. Claude Code is included under the Enterprise agreement.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Establish an AI policy distinguishing approved enterprise accounts from personal accounts. IP protection policy: no proprietary code or customer data in consumer-tier tools. Claude Code for developers under Enterprise terms -- data not used for training.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Copilot (if M365)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generation, meeting summarization, email drafting for go-to-market and operations teams. Power Automate integration for workflow automation.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IP-sensitive SharePoint libraries should have strict sensitivity labels before Copilot deployment.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Gemini (if Workspace)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Similar to Copilot for M365. NotebookLM Enterprise is a high-value add-on for product and research teams synthesizing competitive intelligence and technical documentation.</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 Standard minimum. Verify that customer data in connected data sources is appropriately scoped.</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Marketing and Creative Agencies</w:t>
      </w:r>
    </w:p>
    <w:p>
      <w:pPr>
        <w:spacing w:after="60" w:before="60"/>
      </w:pPr>
      <w:r>
        <w:rPr>
          <w:rFonts w:ascii="Arial" w:cs="Arial" w:eastAsia="Arial" w:hAnsi="Arial"/>
          <w:sz w:val="22"/>
          <w:szCs w:val="22"/>
        </w:rPr>
        <w:t xml:space="preserve">Creative agencies have two AI risks: client data exposure (client briefs, strategies, and unreleased campaign materials processed through public AI tools) and IP ownership ambiguity (who owns AI-assisted creative work). Both are contractual and policy issues, not just technology configurations.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Use Case</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 Priority</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Claude Enterprise / API</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 creative strategy, proposal drafting, client report narratives, campaign brief generation. API for automating the highest-volume content workflows across multiple client accounts.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Establish a client data handling addendum in client agreements that discloses AI tool use. Enterprise account -- not personal accounts -- for all client-related work. ZDR or 7-day API retention for client-sensitive material.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Copilot (if M365)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document production at scale: pitch decks, proposals, meeting summaries. Integration with M365 Teams for client communication.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Sensitivity labels on client-specific SharePoint libraries. Define a policy on which client content may be processed by AI.</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Gemini (if Workspace)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productivity use cases inside Google's environment. Gemini in Slides and Docs is strong for agencies producing high volumes of presentation and document content.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 tier for DLP controls over AI output. Client-specific Shared Drives should be audited for permissions before AI enablement.</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Hospitality and Food Service</w:t>
      </w:r>
    </w:p>
    <w:p>
      <w:pPr>
        <w:spacing w:after="60" w:before="60"/>
      </w:pPr>
      <w:r>
        <w:rPr>
          <w:rFonts w:ascii="Arial" w:cs="Arial" w:eastAsia="Arial" w:hAnsi="Arial"/>
          <w:sz w:val="22"/>
          <w:szCs w:val="22"/>
        </w:rPr>
        <w:t xml:space="preserve">Hospitality AI adoption centers on guest experience and operational efficiency rather than regulatory compliance. The primary risk is staff using consumer AI tools to draft guest communications that include personally identifiable guest data -- a Regulation P and GDPR exposure for properties serving international guests.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Use Case</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 Priority</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Claude Team / Enterprise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Operational writing at scale: guest communication templates, review response drafting, event proposals, menu engineering analysis, flash report narratives. Enterprise not typically required unless processing PII at volume.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 tier appropriate for most hospitality SMBs. Establish a policy that no guest PII (name, email, booking history) enters AI tools without an enterprise-tier data handling agreement.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Copilot (if M365)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operational documents, scheduling analysis, finance flash reports in Excel. Property management communication via Outlook.</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common in hospitality SMBs. If M365 is your platform, Copilot's Excel and Outlook integration is high-value for operations teams.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Gemini (if Workspace)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 in independent hotel and F&amp;B operations that run on Google Workspace. Gemini in Gmail and Docs for guest communication and operational documentation.</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Plus minimum for eDiscovery if your operation has legal exposure. No guest PII in consumer Gemini accounts.</w:t>
            </w:r>
          </w:p>
        </w:tc>
      </w:tr>
    </w:tbl>
    <w:p>
      <w:pPr>
        <w:pBdr>
          <w:bottom w:val="single" w:color="2E75B6" w:sz="6" w:space="1"/>
        </w:pBd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Part Three: Conducting the AI Technology Inventory</w:t>
      </w:r>
    </w:p>
    <w:p>
      <w:pPr>
        <w:spacing w:after="60" w:before="60"/>
      </w:pPr>
      <w:r>
        <w:rPr>
          <w:rFonts w:ascii="Arial" w:cs="Arial" w:eastAsia="Arial" w:hAnsi="Arial"/>
          <w:sz w:val="22"/>
          <w:szCs w:val="22"/>
        </w:rPr>
        <w:t xml:space="preserve">With the commercial platform selection framework established, the inventory process below maps what AI capability already exists in your stack -- before you make any new purchase decisions.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Phase 1: Catalog Your Full Technology Stack</w:t>
      </w:r>
    </w:p>
    <w:p>
      <w:pPr>
        <w:spacing w:after="60" w:before="60"/>
      </w:pPr>
      <w:r>
        <w:rPr>
          <w:rFonts w:ascii="Arial" w:cs="Arial" w:eastAsia="Arial" w:hAnsi="Arial"/>
          <w:sz w:val="22"/>
          <w:szCs w:val="22"/>
        </w:rPr>
        <w:t xml:space="preserve">Before you can find AI in your tools, you need a complete list of your tools. Collect subscription data from:</w:t>
      </w:r>
    </w:p>
    <w:p>
      <w:pPr>
        <w:pStyle w:val="ListParagraph"/>
        <w:numPr>
          <w:ilvl w:val="0"/>
          <w:numId w:val="2"/>
        </w:numPr>
        <w:spacing w:after="40" w:before="40"/>
      </w:pPr>
      <w:r>
        <w:rPr>
          <w:rFonts w:ascii="Arial" w:cs="Arial" w:eastAsia="Arial" w:hAnsi="Arial"/>
          <w:sz w:val="22"/>
          <w:szCs w:val="22"/>
        </w:rPr>
        <w:t xml:space="preserve">Finance / accounts payable: pull all SaaS line items from credit card statements and invoices over the past 12 months</w:t>
      </w:r>
    </w:p>
    <w:p>
      <w:pPr>
        <w:pStyle w:val="ListParagraph"/>
        <w:numPr>
          <w:ilvl w:val="0"/>
          <w:numId w:val="2"/>
        </w:numPr>
        <w:spacing w:after="40" w:before="40"/>
      </w:pPr>
      <w:r>
        <w:rPr>
          <w:rFonts w:ascii="Arial" w:cs="Arial" w:eastAsia="Arial" w:hAnsi="Arial"/>
          <w:sz w:val="22"/>
          <w:szCs w:val="22"/>
        </w:rPr>
        <w:t xml:space="preserve">IT or systems admin: export your SSO provider list (Okta, Microsoft Entra, Google Identity) to see every active application</w:t>
      </w:r>
    </w:p>
    <w:p>
      <w:pPr>
        <w:pStyle w:val="ListParagraph"/>
        <w:numPr>
          <w:ilvl w:val="0"/>
          <w:numId w:val="2"/>
        </w:numPr>
        <w:spacing w:after="40" w:before="40"/>
      </w:pPr>
      <w:r>
        <w:rPr>
          <w:rFonts w:ascii="Arial" w:cs="Arial" w:eastAsia="Arial" w:hAnsi="Arial"/>
          <w:sz w:val="22"/>
          <w:szCs w:val="22"/>
        </w:rPr>
        <w:t xml:space="preserve">Department heads: surface tools purchased on departmental budgets or personal cards</w:t>
      </w:r>
    </w:p>
    <w:p>
      <w:pPr>
        <w:pStyle w:val="ListParagraph"/>
        <w:numPr>
          <w:ilvl w:val="0"/>
          <w:numId w:val="2"/>
        </w:numPr>
        <w:spacing w:after="40" w:before="40"/>
      </w:pPr>
      <w:r>
        <w:rPr>
          <w:rFonts w:ascii="Arial" w:cs="Arial" w:eastAsia="Arial" w:hAnsi="Arial"/>
          <w:sz w:val="22"/>
          <w:szCs w:val="22"/>
        </w:rPr>
        <w:t xml:space="preserve">Contract repository: review vendor agreements for enterprise software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Phase 2: Inventory Master Table</w:t>
      </w:r>
    </w:p>
    <w:p>
      <w:pPr>
        <w:spacing w:after="60" w:before="60"/>
      </w:pPr>
      <w:r>
        <w:rPr>
          <w:rFonts w:ascii="Arial" w:cs="Arial" w:eastAsia="Arial" w:hAnsi="Arial"/>
          <w:sz w:val="22"/>
          <w:szCs w:val="22"/>
        </w:rPr>
        <w:t xml:space="preserve">Use the table below to log every tool in your stack. Complete one row per tool. The right-hand columns will be filled in during Phase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400"/>
        <w:gridCol w:w="25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 Platform Name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AI Feature Exists?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Currently Active?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Premium Add-On?</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 Ecosystem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CRM / Sales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 name]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Unknown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N/A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M365 / Workspace / Standalone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Finance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Unknown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N/A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M365 / Workspace / Standalone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Marketing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 name]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Unknown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N/A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M365 / Workspace / Standalone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HR / People Ops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Unknown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N/A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M365 / Workspace / Standalone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Operations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 name]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Unknown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N/A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M365 / Workspace / Standalone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Product / Engineering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Unknown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N/A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M365 / Workspace / Standalone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Customer Support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 name]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Unknown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N/A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M365 / Workspace / Standalone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Communications / Collab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Unknown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N/A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M365 / Workspace / Standalone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Other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 name]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Unknown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N/A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M365 / Workspace / Standalone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Phase 3: Quick Reference -- AI in Common SMB Tools</w:t>
      </w:r>
    </w:p>
    <w:p>
      <w:pPr>
        <w:spacing w:after="60" w:before="60"/>
      </w:pPr>
      <w:r>
        <w:rPr>
          <w:rFonts w:ascii="Arial" w:cs="Arial" w:eastAsia="Arial" w:hAnsi="Arial"/>
          <w:sz w:val="22"/>
          <w:szCs w:val="22"/>
        </w:rPr>
        <w:t xml:space="preserve">The table below lists known AI capabilities in the platforms most commonly used by SMBs across the five verticals in this toolkit. Use this as a research starting point.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106"/>
        <w:gridCol w:w="3120"/>
        <w:gridCol w:w="1794"/>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1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AI Feature / Module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79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Ecosystem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Salesforce</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Einstein AI / Agentforce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 scoring, email drafting, deal forecasting, case summarization, autonomous sales agents</w:t>
            </w:r>
          </w:p>
        </w:tc>
        <w:tc>
          <w:tcPr>
            <w:tcW w:type="dxa" w:w="179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 / M365 / Workspace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HubSpot</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Breeze AI / Content Assistant / ChatSpot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 emails, blog posts, ad copy; pipeline summaries; AI-powered lead scoring</w:t>
            </w:r>
          </w:p>
        </w:tc>
        <w:tc>
          <w:tcPr>
            <w:tcW w:type="dxa" w:w="17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Microsoft 365</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Copilot (Word, Excel, Outlook, Teams, PPT)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Drafting, summarization, data analysis, meeting notes, presentation creation across all M365 apps</w:t>
            </w:r>
          </w:p>
        </w:tc>
        <w:tc>
          <w:tcPr>
            <w:tcW w:type="dxa" w:w="179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M365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Google Workspace</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 (Gmail, Docs, Sheets, Slides, Meet)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Drafting, summarization, spreadsheet formulas, meeting recaps, presentation generation</w:t>
            </w:r>
          </w:p>
        </w:tc>
        <w:tc>
          <w:tcPr>
            <w:tcW w:type="dxa" w:w="17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Workspace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QuickBooks / Xero</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AI Insights / Cash Flow Forecasting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Anomaly detection, cash flow prediction, invoice categorization, expense matching</w:t>
            </w:r>
          </w:p>
        </w:tc>
        <w:tc>
          <w:tcPr>
            <w:tcW w:type="dxa" w:w="179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 / M365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Gusto / Rippling</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Hiring Assistant / Workforce 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Job description generation, candidate screening assist, scheduling, benefits decision support</w:t>
            </w:r>
          </w:p>
        </w:tc>
        <w:tc>
          <w:tcPr>
            <w:tcW w:type="dxa" w:w="17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 / M365 / Workspace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Slack</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AI / Workflow Builder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Thread and channel summarization, workflow automation, search synthesis</w:t>
            </w:r>
          </w:p>
        </w:tc>
        <w:tc>
          <w:tcPr>
            <w:tcW w:type="dxa" w:w="179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 / M365 / Workspace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Notion</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Notion 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summarization, content drafting, action item extraction, Q&amp;A over workspace content</w:t>
            </w:r>
          </w:p>
        </w:tc>
        <w:tc>
          <w:tcPr>
            <w:tcW w:type="dxa" w:w="17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Zendesk / Intercom</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AI Agents / Fin AI</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Tier-1 ticket resolution, sentiment detection, escalation routing, response drafting</w:t>
            </w:r>
          </w:p>
        </w:tc>
        <w:tc>
          <w:tcPr>
            <w:tcW w:type="dxa" w:w="179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NetSuite / Sage</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Intelligent Forecasting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 projection, anomaly alerts, AP/AR automation, cash flow modeling</w:t>
            </w:r>
          </w:p>
        </w:tc>
        <w:tc>
          <w:tcPr>
            <w:tcW w:type="dxa" w:w="17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 / M365</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Toast (F&amp;B)</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AI Scheduling / Sales Forecasting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Labor demand prediction from historical sales, menu performance scoring, inventory alerts</w:t>
            </w:r>
          </w:p>
        </w:tc>
        <w:tc>
          <w:tcPr>
            <w:tcW w:type="dxa" w:w="179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Shopify</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Sidekick / AI Descriptions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copy generation, demand forecasting, customer segmentation, marketing recommendations</w:t>
            </w:r>
          </w:p>
        </w:tc>
        <w:tc>
          <w:tcPr>
            <w:tcW w:type="dxa" w:w="17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 / Workspace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Procore / Autodesk</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AI Cost / Risk Prediction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Bid analysis, schedule risk flags, RFI auto-routing, document processing</w:t>
            </w:r>
          </w:p>
        </w:tc>
        <w:tc>
          <w:tcPr>
            <w:tcW w:type="dxa" w:w="179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 / M365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Anthropic Claude</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Enterprise /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 analysis, structured writing, workflow automation, agent building -- across all verticals</w:t>
            </w:r>
          </w:p>
        </w:tc>
        <w:tc>
          <w:tcPr>
            <w:tcW w:type="dxa" w:w="17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 + API</w:t>
            </w:r>
          </w:p>
        </w:tc>
      </w:tr>
    </w:tbl>
    <w:p>
      <w:pPr>
        <w:spacing w:after="80" w:before="80"/>
      </w:pPr>
      <w:r>
        <w:t xml:space="preserve"/>
      </w:r>
    </w:p>
    <w:p>
      <w:pPr>
        <w:pBdr>
          <w:bottom w:val="single" w:color="2E75B6" w:sz="6" w:space="1"/>
        </w:pBd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Part Four: Activation, Prioritization, and Governance</w:t>
      </w:r>
    </w:p>
    <w:p>
      <w:pPr>
        <w:pStyle w:val="Heading2"/>
        <w:spacing w:after="80" w:before="240"/>
      </w:pPr>
      <w:r>
        <w:rPr>
          <w:rFonts w:ascii="Arial" w:cs="Arial" w:eastAsia="Arial" w:hAnsi="Arial"/>
          <w:b/>
          <w:bCs/>
          <w:color w:val="2E75B6"/>
          <w:sz w:val="26"/>
          <w:szCs w:val="26"/>
        </w:rPr>
        <w:t xml:space="preserve">Prioritization Tiers</w:t>
      </w:r>
    </w:p>
    <w:p>
      <w:pPr>
        <w:spacing w:after="60" w:before="60"/>
      </w:pPr>
      <w:r>
        <w:rPr>
          <w:rFonts w:ascii="Arial" w:cs="Arial" w:eastAsia="Arial" w:hAnsi="Arial"/>
          <w:sz w:val="22"/>
          <w:szCs w:val="22"/>
        </w:rPr>
        <w:t xml:space="preserve">After completing the inventory, organize your findings into three activation tiers:</w:t>
      </w:r>
    </w:p>
    <w:p>
      <w:pPr>
        <w:spacing w:after="80" w:before="80"/>
      </w:pPr>
      <w:r>
        <w:t xml:space="preserve"/>
      </w:r>
    </w:p>
    <w:p>
      <w:pPr>
        <w:spacing w:after="60" w:before="160"/>
      </w:pPr>
      <w:r>
        <w:rPr>
          <w:rFonts w:ascii="Arial" w:cs="Arial" w:eastAsia="Arial" w:hAnsi="Arial"/>
          <w:b/>
          <w:bCs/>
          <w:color w:val="333333"/>
          <w:sz w:val="23"/>
          <w:szCs w:val="23"/>
        </w:rPr>
        <w:t xml:space="preserve">Tier 1: Activate Now -- Zero Additional Cost</w:t>
      </w:r>
    </w:p>
    <w:p>
      <w:pPr>
        <w:spacing w:after="60" w:before="60"/>
      </w:pPr>
      <w:r>
        <w:rPr>
          <w:rFonts w:ascii="Arial" w:cs="Arial" w:eastAsia="Arial" w:hAnsi="Arial"/>
          <w:sz w:val="22"/>
          <w:szCs w:val="22"/>
        </w:rPr>
        <w:t xml:space="preserve">AI features already included in your current subscription tier that are simply not enabled. These are your highest-priority activations. No procurement decision required.</w:t>
      </w:r>
    </w:p>
    <w:p>
      <w:pPr>
        <w:pStyle w:val="ListParagraph"/>
        <w:numPr>
          <w:ilvl w:val="0"/>
          <w:numId w:val="2"/>
        </w:numPr>
        <w:spacing w:after="40" w:before="40"/>
      </w:pPr>
      <w:r>
        <w:rPr>
          <w:rFonts w:ascii="Arial" w:cs="Arial" w:eastAsia="Arial" w:hAnsi="Arial"/>
          <w:sz w:val="22"/>
          <w:szCs w:val="22"/>
        </w:rPr>
        <w:t xml:space="preserve">Meeting transcription and summarization in Teams, Zoom, or Google Meet</w:t>
      </w:r>
    </w:p>
    <w:p>
      <w:pPr>
        <w:pStyle w:val="ListParagraph"/>
        <w:numPr>
          <w:ilvl w:val="0"/>
          <w:numId w:val="2"/>
        </w:numPr>
        <w:spacing w:after="40" w:before="40"/>
      </w:pPr>
      <w:r>
        <w:rPr>
          <w:rFonts w:ascii="Arial" w:cs="Arial" w:eastAsia="Arial" w:hAnsi="Arial"/>
          <w:sz w:val="22"/>
          <w:szCs w:val="22"/>
        </w:rPr>
        <w:t xml:space="preserve">Email drafting assistance in Copilot for Outlook or Gmail Gemini</w:t>
      </w:r>
    </w:p>
    <w:p>
      <w:pPr>
        <w:pStyle w:val="ListParagraph"/>
        <w:numPr>
          <w:ilvl w:val="0"/>
          <w:numId w:val="2"/>
        </w:numPr>
        <w:spacing w:after="40" w:before="40"/>
      </w:pPr>
      <w:r>
        <w:rPr>
          <w:rFonts w:ascii="Arial" w:cs="Arial" w:eastAsia="Arial" w:hAnsi="Arial"/>
          <w:sz w:val="22"/>
          <w:szCs w:val="22"/>
        </w:rPr>
        <w:t xml:space="preserve">CRM lead scoring and pipeline intelligence already licensed in your Salesforce or HubSpot tier</w:t>
      </w:r>
    </w:p>
    <w:p>
      <w:pPr>
        <w:pStyle w:val="ListParagraph"/>
        <w:numPr>
          <w:ilvl w:val="0"/>
          <w:numId w:val="2"/>
        </w:numPr>
        <w:spacing w:after="40" w:before="40"/>
      </w:pPr>
      <w:r>
        <w:rPr>
          <w:rFonts w:ascii="Arial" w:cs="Arial" w:eastAsia="Arial" w:hAnsi="Arial"/>
          <w:sz w:val="22"/>
          <w:szCs w:val="22"/>
        </w:rPr>
        <w:t xml:space="preserve">Document summarization in Notion AI, Microsoft Copilot, or Gemini Docs</w:t>
      </w:r>
    </w:p>
    <w:p>
      <w:pPr>
        <w:spacing w:after="80" w:before="80"/>
      </w:pPr>
      <w:r>
        <w:t xml:space="preserve"/>
      </w:r>
    </w:p>
    <w:p>
      <w:pPr>
        <w:spacing w:after="60" w:before="160"/>
      </w:pPr>
      <w:r>
        <w:rPr>
          <w:rFonts w:ascii="Arial" w:cs="Arial" w:eastAsia="Arial" w:hAnsi="Arial"/>
          <w:b/>
          <w:bCs/>
          <w:color w:val="333333"/>
          <w:sz w:val="23"/>
          <w:szCs w:val="23"/>
        </w:rPr>
        <w:t xml:space="preserve">Tier 2: Evaluate for Purchase -- Defined Incremental Cost</w:t>
      </w:r>
    </w:p>
    <w:p>
      <w:pPr>
        <w:spacing w:after="60" w:before="60"/>
      </w:pPr>
      <w:r>
        <w:rPr>
          <w:rFonts w:ascii="Arial" w:cs="Arial" w:eastAsia="Arial" w:hAnsi="Arial"/>
          <w:sz w:val="22"/>
          <w:szCs w:val="22"/>
        </w:rPr>
        <w:t xml:space="preserve">Features available for a stated incremental cost. These require a brief cost-benefit analysis and an approval step. Quantify the ROI before purchasing.</w:t>
      </w:r>
    </w:p>
    <w:p>
      <w:pPr>
        <w:pStyle w:val="ListParagraph"/>
        <w:numPr>
          <w:ilvl w:val="0"/>
          <w:numId w:val="2"/>
        </w:numPr>
        <w:spacing w:after="40" w:before="40"/>
      </w:pPr>
      <w:r>
        <w:rPr>
          <w:rFonts w:ascii="Arial" w:cs="Arial" w:eastAsia="Arial" w:hAnsi="Arial"/>
          <w:sz w:val="22"/>
          <w:szCs w:val="22"/>
        </w:rPr>
        <w:t xml:space="preserve">Upgrading your Workspace tier from Business Standard to Enterprise Standard to unlock data residency and DLP controls</w:t>
      </w:r>
    </w:p>
    <w:p>
      <w:pPr>
        <w:pStyle w:val="ListParagraph"/>
        <w:numPr>
          <w:ilvl w:val="0"/>
          <w:numId w:val="2"/>
        </w:numPr>
        <w:spacing w:after="40" w:before="40"/>
      </w:pPr>
      <w:r>
        <w:rPr>
          <w:rFonts w:ascii="Arial" w:cs="Arial" w:eastAsia="Arial" w:hAnsi="Arial"/>
          <w:sz w:val="22"/>
          <w:szCs w:val="22"/>
        </w:rPr>
        <w:t xml:space="preserve">Adding Microsoft 365 Copilot to an existing M365 E3 or E5 license</w:t>
      </w:r>
    </w:p>
    <w:p>
      <w:pPr>
        <w:pStyle w:val="ListParagraph"/>
        <w:numPr>
          <w:ilvl w:val="0"/>
          <w:numId w:val="2"/>
        </w:numPr>
        <w:spacing w:after="40" w:before="40"/>
      </w:pPr>
      <w:r>
        <w:rPr>
          <w:rFonts w:ascii="Arial" w:cs="Arial" w:eastAsia="Arial" w:hAnsi="Arial"/>
          <w:sz w:val="22"/>
          <w:szCs w:val="22"/>
        </w:rPr>
        <w:t xml:space="preserve">Activating Claude Enterprise for teams requiring frontier reasoning or API-based workflow automation</w:t>
      </w:r>
    </w:p>
    <w:p>
      <w:pPr>
        <w:pStyle w:val="ListParagraph"/>
        <w:numPr>
          <w:ilvl w:val="0"/>
          <w:numId w:val="2"/>
        </w:numPr>
        <w:spacing w:after="40" w:before="40"/>
      </w:pPr>
      <w:r>
        <w:rPr>
          <w:rFonts w:ascii="Arial" w:cs="Arial" w:eastAsia="Arial" w:hAnsi="Arial"/>
          <w:sz w:val="22"/>
          <w:szCs w:val="22"/>
        </w:rPr>
        <w:t xml:space="preserve">Enabling AI features in accounting, HR, or support platforms behind a premium tier gate</w:t>
      </w:r>
    </w:p>
    <w:p>
      <w:pPr>
        <w:spacing w:after="80" w:before="80"/>
      </w:pPr>
      <w:r>
        <w:t xml:space="preserve"/>
      </w:r>
    </w:p>
    <w:p>
      <w:pPr>
        <w:spacing w:after="60" w:before="160"/>
      </w:pPr>
      <w:r>
        <w:rPr>
          <w:rFonts w:ascii="Arial" w:cs="Arial" w:eastAsia="Arial" w:hAnsi="Arial"/>
          <w:b/>
          <w:bCs/>
          <w:color w:val="333333"/>
          <w:sz w:val="23"/>
          <w:szCs w:val="23"/>
        </w:rPr>
        <w:t xml:space="preserve">Tier 3: Pilot Before Committing -- New Tools</w:t>
      </w:r>
    </w:p>
    <w:p>
      <w:pPr>
        <w:spacing w:after="60" w:before="60"/>
      </w:pPr>
      <w:r>
        <w:rPr>
          <w:rFonts w:ascii="Arial" w:cs="Arial" w:eastAsia="Arial" w:hAnsi="Arial"/>
          <w:sz w:val="22"/>
          <w:szCs w:val="22"/>
        </w:rPr>
        <w:t xml:space="preserve">Net-new AI tools not connected to your existing stack. Only pursue these after Tier 1 and Tier 2 opportunities are exhausted or insufficient. New tools carry integration, training, and change management overhead that existing-stack AI does not.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Activation Checklist</w:t>
      </w:r>
    </w:p>
    <w:p>
      <w:pPr>
        <w:spacing w:after="60" w:before="60"/>
      </w:pPr>
      <w:r>
        <w:rPr>
          <w:rFonts w:ascii="Arial" w:cs="Arial" w:eastAsia="Arial" w:hAnsi="Arial"/>
          <w:sz w:val="22"/>
          <w:szCs w:val="22"/>
        </w:rPr>
        <w:t xml:space="preserve">For each AI feature you decide to activate, complete the following before go-live:</w:t>
      </w:r>
    </w:p>
    <w:p>
      <w:pPr>
        <w:pStyle w:val="ListParagraph"/>
        <w:numPr>
          <w:ilvl w:val="0"/>
          <w:numId w:val="2"/>
        </w:numPr>
        <w:spacing w:after="40" w:before="40"/>
      </w:pPr>
      <w:r>
        <w:rPr>
          <w:rFonts w:ascii="Arial" w:cs="Arial" w:eastAsia="Arial" w:hAnsi="Arial"/>
          <w:sz w:val="22"/>
          <w:szCs w:val="22"/>
        </w:rPr>
        <w:t xml:space="preserve">Confirm data handling: inputs not used for model training, retention configured to policy, no co-mingling with other tenants</w:t>
      </w:r>
    </w:p>
    <w:p>
      <w:pPr>
        <w:pStyle w:val="ListParagraph"/>
        <w:numPr>
          <w:ilvl w:val="0"/>
          <w:numId w:val="2"/>
        </w:numPr>
        <w:spacing w:after="40" w:before="40"/>
      </w:pPr>
      <w:r>
        <w:rPr>
          <w:rFonts w:ascii="Arial" w:cs="Arial" w:eastAsia="Arial" w:hAnsi="Arial"/>
          <w:sz w:val="22"/>
          <w:szCs w:val="22"/>
        </w:rPr>
        <w:t xml:space="preserve">Run a permissions audit on data sources the AI will access</w:t>
      </w:r>
    </w:p>
    <w:p>
      <w:pPr>
        <w:pStyle w:val="ListParagraph"/>
        <w:numPr>
          <w:ilvl w:val="0"/>
          <w:numId w:val="2"/>
        </w:numPr>
        <w:spacing w:after="40" w:before="40"/>
      </w:pPr>
      <w:r>
        <w:rPr>
          <w:rFonts w:ascii="Arial" w:cs="Arial" w:eastAsia="Arial" w:hAnsi="Arial"/>
          <w:sz w:val="22"/>
          <w:szCs w:val="22"/>
        </w:rPr>
        <w:t xml:space="preserve">Identify the business owner and first champion for this feature</w:t>
      </w:r>
    </w:p>
    <w:p>
      <w:pPr>
        <w:pStyle w:val="ListParagraph"/>
        <w:numPr>
          <w:ilvl w:val="0"/>
          <w:numId w:val="2"/>
        </w:numPr>
        <w:spacing w:after="40" w:before="40"/>
      </w:pPr>
      <w:r>
        <w:rPr>
          <w:rFonts w:ascii="Arial" w:cs="Arial" w:eastAsia="Arial" w:hAnsi="Arial"/>
          <w:sz w:val="22"/>
          <w:szCs w:val="22"/>
        </w:rPr>
        <w:t xml:space="preserve">Define a measurable 30-day success criterion</w:t>
      </w:r>
    </w:p>
    <w:p>
      <w:pPr>
        <w:pStyle w:val="ListParagraph"/>
        <w:numPr>
          <w:ilvl w:val="0"/>
          <w:numId w:val="2"/>
        </w:numPr>
        <w:spacing w:after="40" w:before="40"/>
      </w:pPr>
      <w:r>
        <w:rPr>
          <w:rFonts w:ascii="Arial" w:cs="Arial" w:eastAsia="Arial" w:hAnsi="Arial"/>
          <w:sz w:val="22"/>
          <w:szCs w:val="22"/>
        </w:rPr>
        <w:t xml:space="preserve">Communicate to affected employees: what the feature does, what it does not do, and how their workflow changes</w:t>
      </w:r>
    </w:p>
    <w:p>
      <w:pPr>
        <w:pStyle w:val="ListParagraph"/>
        <w:numPr>
          <w:ilvl w:val="0"/>
          <w:numId w:val="2"/>
        </w:numPr>
        <w:spacing w:after="40" w:before="40"/>
      </w:pPr>
      <w:r>
        <w:rPr>
          <w:rFonts w:ascii="Arial" w:cs="Arial" w:eastAsia="Arial" w:hAnsi="Arial"/>
          <w:sz w:val="22"/>
          <w:szCs w:val="22"/>
        </w:rPr>
        <w:t xml:space="preserve">For regulated verticals: confirm the activation meets your compliance requirements before any client data is processed</w:t>
      </w:r>
    </w:p>
    <w:p>
      <w:pPr>
        <w:pStyle w:val="ListParagraph"/>
        <w:numPr>
          <w:ilvl w:val="0"/>
          <w:numId w:val="2"/>
        </w:numPr>
        <w:spacing w:after="40" w:before="40"/>
      </w:pPr>
      <w:r>
        <w:rPr>
          <w:rFonts w:ascii="Arial" w:cs="Arial" w:eastAsia="Arial" w:hAnsi="Arial"/>
          <w:sz w:val="22"/>
          <w:szCs w:val="22"/>
        </w:rPr>
        <w:t xml:space="preserve">Log the activation in your AI registry -- every deployed AI capability should have a record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The AI Registry</w:t>
      </w:r>
    </w:p>
    <w:p>
      <w:pPr>
        <w:spacing w:after="60" w:before="60"/>
      </w:pPr>
      <w:r>
        <w:rPr>
          <w:rFonts w:ascii="Arial" w:cs="Arial" w:eastAsia="Arial" w:hAnsi="Arial"/>
          <w:sz w:val="22"/>
          <w:szCs w:val="22"/>
        </w:rPr>
        <w:t xml:space="preserve">Every AI tool in production at your organization should appear in a simple AI registry that tracks: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Tool / Feature Name</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specific AI capability deployed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Vendor and Plan Tier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Which vendor and which subscription level governs this deployment</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Department / Owner</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business owner accountable for this tool's use and outputs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Data Handling Confirmation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confirmed, basis (ZDR, DPA, BAA, or standard enterprise terms), and link to the relevant agreement</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Approved Use Cases</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this tool is authorized to do at this organization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Prohibited Use Cases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this tool must not be used for (e.g., no client PII, no proprietary source code)</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Review Cadence</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this entry will next be reviewed -- recommend every 6 months given how rapidly AI tool capabilities and pricing change</w:t>
            </w:r>
          </w:p>
        </w:tc>
      </w:tr>
    </w:tbl>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Closing: The Right Frame for AI Investment</w:t>
      </w:r>
    </w:p>
    <w:p>
      <w:pPr>
        <w:spacing w:after="60" w:before="60"/>
      </w:pPr>
      <w:r>
        <w:rPr>
          <w:rFonts w:ascii="Arial" w:cs="Arial" w:eastAsia="Arial" w:hAnsi="Arial"/>
          <w:sz w:val="22"/>
          <w:szCs w:val="22"/>
        </w:rPr>
        <w:t xml:space="preserve">The AI technology landscape is moving faster than any procurement cycle was designed to handle. The organizations that benefit most from AI in 2026 are not the ones that bought the most tools -- they are the ones that activated the AI already inside their stack, selected one commercial platform deliberately based on ecosystem fit and compliance need, and built the governance infrastructure to ensure AI output is trusted and accountable.</w:t>
      </w:r>
    </w:p>
    <w:p>
      <w:pPr>
        <w:spacing w:after="80" w:before="80"/>
      </w:pPr>
      <w:r>
        <w:t xml:space="preserve"/>
      </w:r>
    </w:p>
    <w:p>
      <w:pPr>
        <w:spacing w:after="60" w:before="60"/>
      </w:pPr>
      <w:r>
        <w:rPr>
          <w:rFonts w:ascii="Arial" w:cs="Arial" w:eastAsia="Arial" w:hAnsi="Arial"/>
          <w:sz w:val="22"/>
          <w:szCs w:val="22"/>
        </w:rPr>
        <w:t xml:space="preserve">Start with what you have. Add what you need. Build the governance around both. This is the durable approach -- and it is the one that holds up in a board conversation, a compliance exam, and a staff town hall.</w:t>
      </w:r>
    </w:p>
    <w:p>
      <w:pPr>
        <w:spacing w:after="80" w:before="80"/>
      </w:pPr>
      <w:r>
        <w:t xml:space="preserve"/>
      </w:r>
    </w:p>
    <w:p>
      <w:pPr>
        <w:spacing w:after="60" w:before="60"/>
      </w:pPr>
      <w:r>
        <w:rPr>
          <w:rFonts w:ascii="Arial" w:cs="Arial" w:eastAsia="Arial" w:hAnsi="Arial"/>
          <w:i/>
          <w:iCs/>
          <w:color w:val="595959"/>
          <w:sz w:val="22"/>
          <w:szCs w:val="22"/>
        </w:rPr>
        <w:t xml:space="preserve">Pricing and compliance specifications for all three platforms change frequently. Verify current terms at anthropic.com/pricing, microsoft.com/microsoft-365/copilot, and workspace.google.com/pricing before any purchase decision. For regulated verticals, no AI deployment should proceed without legal and compliance review of vendor agreements.</w:t>
      </w:r>
    </w:p>
    <w:p>
      <w:pPr>
        <w:spacing w:after="80" w:before="80"/>
      </w:pPr>
      <w:r>
        <w:t xml:space="preserve"/>
      </w:r>
    </w:p>
    <w:p>
      <w:pPr>
        <w:spacing w:after="60" w:before="60"/>
      </w:pPr>
      <w:r>
        <w:rPr>
          <w:rFonts w:ascii="Arial" w:cs="Arial" w:eastAsia="Arial" w:hAnsi="Arial"/>
          <w:color w:val="595959"/>
          <w:sz w:val="22"/>
          <w:szCs w:val="22"/>
        </w:rPr>
        <w:t xml:space="preserve">Prepared by: ___________________________     Date: ___________________________     Next Review: 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2026-06-24T16:23:32.289Z</dcterms:created>
  <dcterms:modified xsi:type="dcterms:W3CDTF">2026-06-24T16:23:32.302Z</dcterms:modified>
</cp:coreProperties>
</file>

<file path=docProps/custom.xml><?xml version="1.0" encoding="utf-8"?>
<Properties xmlns="http://schemas.openxmlformats.org/officeDocument/2006/custom-properties" xmlns:vt="http://schemas.openxmlformats.org/officeDocument/2006/docPropsVTypes"/>
</file>