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rFonts w:ascii="Arial" w:hAnsi="Arial"/>
          <w:b/>
          <w:color w:val="1B3A5C"/>
          <w:sz w:val="56"/>
        </w:rPr>
        <w:t>事業計画書</w:t>
      </w:r>
    </w:p>
    <w:p>
      <w:pPr>
        <w:spacing w:after="120"/>
        <w:jc w:val="center"/>
      </w:pPr>
      <w:r>
        <w:rPr>
          <w:rFonts w:ascii="Arial" w:hAnsi="Arial"/>
          <w:color w:val="2E75B6"/>
          <w:sz w:val="36"/>
        </w:rPr>
        <w:t>AI志望理由書添削サービス</w:t>
      </w:r>
    </w:p>
    <w:p>
      <w:pPr>
        <w:spacing w:after="0"/>
        <w:jc w:val="center"/>
      </w:pPr>
      <w:r>
        <w:rPr>
          <w:rFonts w:ascii="Arial" w:hAnsi="Arial"/>
          <w:color w:val="555555"/>
          <w:sz w:val="24"/>
        </w:rPr>
        <w:t>総合型選抜・学校推薦型選抜 受験生向け</w:t>
      </w:r>
    </w:p>
    <w:p/>
    <w:p/>
    <w:p/>
    <w:p/>
    <w:p/>
    <w:p/>
    <w:p/>
    <w:p/>
    <w:p>
      <w:pPr>
        <w:spacing w:after="80"/>
        <w:jc w:val="right"/>
      </w:pPr>
      <w:r>
        <w:rPr>
          <w:rFonts w:ascii="Arial" w:hAnsi="Arial"/>
          <w:color w:val="555555"/>
          <w:sz w:val="22"/>
        </w:rPr>
        <w:t>作成日：2026年3月26日</w:t>
      </w:r>
    </w:p>
    <w:p>
      <w:pPr>
        <w:spacing w:after="0"/>
        <w:jc w:val="right"/>
      </w:pPr>
      <w:r>
        <w:rPr>
          <w:rFonts w:ascii="Arial" w:hAnsi="Arial"/>
          <w:b/>
          <w:color w:val="1B3A5C"/>
          <w:sz w:val="22"/>
        </w:rPr>
        <w:t>機密</w:t>
      </w:r>
    </w:p>
    <w:p>
      <w:r>
        <w:br w:type="page"/>
      </w:r>
    </w:p>
    <w:p>
      <w:pPr>
        <w:pStyle w:val="Heading1"/>
      </w:pPr>
      <w:r>
        <w:t>1. エグゼクティブサマリー</w:t>
      </w:r>
    </w:p>
    <w:p>
      <w:r>
        <w:t>本事業は、総合型選抜および学校推薦型選抜を受験する高校生を対象に、AIを活用した志望理由書添削サービスを提供する。</w:t>
      </w:r>
    </w:p>
    <w:p>
      <w:r>
        <w:t>志望理由書の添削は従来、専門塾への通塾（年間50〜150万円）または高校教員の個人的な対応に依存してきた。本サービスは、AIによる無料即時添削を入口とし、元予備校講師監修のAIチャット相談（有料）および大学・塾向け広告を収益源とするビジネスモデルを採用する。</w:t>
      </w:r>
    </w:p>
    <w:p>
      <w:r>
        <w:t>年間31万人超の推薦系受験生が存在し、かつその比率は毎年上昇している。B2C×総合型選抜×AI添削×無料という組み合わせは現時点でほぼ空白の市場であり、先行者優位を確立する機会がある。</w:t>
      </w:r>
    </w:p>
    <w:p>
      <w:pPr>
        <w:pBdr>
          <w:bottom w:val="single" w:sz="4" w:space="1" w:color="B0C4DE"/>
        </w:pBdr>
      </w:pPr>
    </w:p>
    <w:p>
      <w:pPr>
        <w:pStyle w:val="Heading1"/>
      </w:pPr>
      <w:r>
        <w:t>2. 事業概要</w:t>
      </w:r>
    </w:p>
    <w:p>
      <w:pPr>
        <w:pStyle w:val="Heading2"/>
      </w:pPr>
      <w:r>
        <w:t>2.1 サービス内容</w:t>
      </w:r>
    </w:p>
    <w:p>
      <w:r>
        <w:t>本サービスは以下の2層構造で提供する。</w:t>
      </w:r>
    </w:p>
    <w:p>
      <w:pPr>
        <w:pStyle w:val="Heading3"/>
      </w:pPr>
      <w:r>
        <w:t>無料層：AI添削（診断）</w:t>
      </w:r>
    </w:p>
    <w:p>
      <w:r>
        <w:t>受験生が志望理由書を入力すると、AIが即時に改善点をコメント形式で指摘する。原文の書き換えは行わず、「赤ペン先生」のように変更すべき点を提案する形式とする。これにより、「AIが書いた志望理由書」という批判を回避し、受験生自身が考えて書き直す設計を担保する。</w:t>
      </w:r>
    </w:p>
    <w:p>
      <w:pPr>
        <w:pStyle w:val="Heading3"/>
      </w:pPr>
      <w:r>
        <w:t>有料層：AIチャット相談（処方）</w:t>
      </w:r>
    </w:p>
    <w:p>
      <w:r>
        <w:t>元予備校講師監修のAIアドバイザーとのチャット相談を提供する。無料添削で指摘された改善点を踏まえ、「実際にどう書き直すか」を壁打ちできる対話型サービスとする。裏側はAIが対応するため、24時間即時応答が可能であり、同時に何人でも対応できるスケーラブルな構造となる。</w:t>
      </w:r>
    </w:p>
    <w:p>
      <w:pPr>
        <w:pStyle w:val="Heading2"/>
      </w:pPr>
      <w:r>
        <w:t>2.2 ターゲットユーザー</w:t>
      </w:r>
    </w:p>
    <w:p>
      <w:pPr>
        <w:pStyle w:val="ListBullet"/>
      </w:pPr>
      <w:r>
        <w:t>コアターゲット：総合型選抜受験生（年間10万人超）</w:t>
      </w:r>
    </w:p>
    <w:p>
      <w:pPr>
        <w:pStyle w:val="ListBullet"/>
      </w:pPr>
      <w:r>
        <w:t>拡張ターゲット：学校推薦型選抜受験生を含む推薦系受験生全体（年間31万人超）</w:t>
      </w:r>
    </w:p>
    <w:p>
      <w:pPr>
        <w:pStyle w:val="ListBullet"/>
      </w:pPr>
      <w:r>
        <w:t>二次ターゲット：保護者（費用負担の意思決定者）</w:t>
      </w:r>
    </w:p>
    <w:p>
      <w:pPr>
        <w:pStyle w:val="Heading2"/>
      </w:pPr>
      <w:r>
        <w:t>2.3 提供価値</w:t>
      </w:r>
    </w:p>
    <w:p>
      <w:pPr>
        <w:pStyle w:val="ListBullet"/>
      </w:pPr>
      <w:r>
        <w:t>無料で即時に添削結果を取得可能（従来は数万円・数日待ち）</w:t>
      </w:r>
    </w:p>
    <w:p>
      <w:pPr>
        <w:pStyle w:val="ListBullet"/>
      </w:pPr>
      <w:r>
        <w:t>原文を尊重したコメント形式で、受験生の主体性を担保</w:t>
      </w:r>
    </w:p>
    <w:p>
      <w:pPr>
        <w:pStyle w:val="ListBullet"/>
      </w:pPr>
      <w:r>
        <w:t>元予備校講師監修による専門性とAIの利便性の両立</w:t>
      </w:r>
    </w:p>
    <w:p>
      <w:pPr>
        <w:pStyle w:val="ListBullet"/>
      </w:pPr>
      <w:r>
        <w:t>24時間365日利用可能（受験生が最も執筆する夜間帯にも対応）</w:t>
      </w:r>
    </w:p>
    <w:p>
      <w:pPr>
        <w:pBdr>
          <w:bottom w:val="single" w:sz="4" w:space="1" w:color="B0C4DE"/>
        </w:pBdr>
      </w:pPr>
    </w:p>
    <w:p>
      <w:pPr>
        <w:pStyle w:val="Heading1"/>
      </w:pPr>
      <w:r>
        <w:t>3. 市場分析</w:t>
      </w:r>
    </w:p>
    <w:p>
      <w:pPr>
        <w:pStyle w:val="Heading2"/>
      </w:pPr>
      <w:r>
        <w:t>3.1 市場規模</w:t>
      </w:r>
    </w:p>
    <w:p>
      <w:r>
        <w:t>大学入試における推薦系選抜は拡大傾向にある。2024年度の入学者数において、総合型選抜と学校推薦型選抜の合計は全体の51.0%を占め、初めて過半数を超えた。</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fill="1B3A5C" w:color="auto"/>
          </w:tcPr>
          <w:p>
            <w:pPr>
              <w:jc w:val="center"/>
            </w:pPr>
            <w:r/>
            <w:r>
              <w:rPr>
                <w:rFonts w:ascii="Arial" w:hAnsi="Arial"/>
                <w:b/>
                <w:color w:val="FFFFFF"/>
                <w:sz w:val="19"/>
              </w:rPr>
              <w:t>選抜区分</w:t>
            </w:r>
          </w:p>
        </w:tc>
        <w:tc>
          <w:tcPr>
            <w:tcW w:type="dxa" w:w="1984"/>
            <w:shd w:val="clear" w:fill="1B3A5C" w:color="auto"/>
          </w:tcPr>
          <w:p>
            <w:pPr>
              <w:jc w:val="center"/>
            </w:pPr>
            <w:r/>
            <w:r>
              <w:rPr>
                <w:rFonts w:ascii="Arial" w:hAnsi="Arial"/>
                <w:b/>
                <w:color w:val="FFFFFF"/>
                <w:sz w:val="19"/>
              </w:rPr>
              <w:t>入学者数</w:t>
            </w:r>
          </w:p>
        </w:tc>
        <w:tc>
          <w:tcPr>
            <w:tcW w:type="dxa" w:w="1984"/>
            <w:shd w:val="clear" w:fill="1B3A5C" w:color="auto"/>
          </w:tcPr>
          <w:p>
            <w:pPr>
              <w:jc w:val="center"/>
            </w:pPr>
            <w:r/>
            <w:r>
              <w:rPr>
                <w:rFonts w:ascii="Arial" w:hAnsi="Arial"/>
                <w:b/>
                <w:color w:val="FFFFFF"/>
                <w:sz w:val="19"/>
              </w:rPr>
              <w:t>全体比率</w:t>
            </w:r>
          </w:p>
        </w:tc>
        <w:tc>
          <w:tcPr>
            <w:tcW w:type="dxa" w:w="1984"/>
            <w:shd w:val="clear" w:fill="1B3A5C" w:color="auto"/>
          </w:tcPr>
          <w:p>
            <w:pPr>
              <w:jc w:val="center"/>
            </w:pPr>
            <w:r/>
            <w:r>
              <w:rPr>
                <w:rFonts w:ascii="Arial" w:hAnsi="Arial"/>
                <w:b/>
                <w:color w:val="FFFFFF"/>
                <w:sz w:val="19"/>
              </w:rPr>
              <w:t>前年比</w:t>
            </w:r>
          </w:p>
        </w:tc>
      </w:tr>
      <w:tr>
        <w:tc>
          <w:tcPr>
            <w:tcW w:type="dxa" w:w="2835"/>
            <w:shd w:val="clear" w:fill="E8F0F8" w:color="auto"/>
          </w:tcPr>
          <w:p>
            <w:r/>
            <w:r>
              <w:rPr>
                <w:rFonts w:ascii="Arial" w:hAnsi="Arial"/>
                <w:sz w:val="19"/>
              </w:rPr>
              <w:t>総合型選抜</w:t>
            </w:r>
          </w:p>
        </w:tc>
        <w:tc>
          <w:tcPr>
            <w:tcW w:type="dxa" w:w="1984"/>
            <w:shd w:val="clear" w:fill="E8F0F8" w:color="auto"/>
          </w:tcPr>
          <w:p>
            <w:pPr>
              <w:jc w:val="right"/>
            </w:pPr>
            <w:r/>
            <w:r>
              <w:rPr>
                <w:rFonts w:ascii="Arial" w:hAnsi="Arial"/>
                <w:sz w:val="19"/>
              </w:rPr>
              <w:t>約9.9万人</w:t>
            </w:r>
          </w:p>
        </w:tc>
        <w:tc>
          <w:tcPr>
            <w:tcW w:type="dxa" w:w="1984"/>
            <w:shd w:val="clear" w:fill="E8F0F8" w:color="auto"/>
          </w:tcPr>
          <w:p>
            <w:pPr>
              <w:jc w:val="right"/>
            </w:pPr>
            <w:r/>
            <w:r>
              <w:rPr>
                <w:rFonts w:ascii="Arial" w:hAnsi="Arial"/>
                <w:sz w:val="19"/>
              </w:rPr>
              <w:t>16.1%</w:t>
            </w:r>
          </w:p>
        </w:tc>
        <w:tc>
          <w:tcPr>
            <w:tcW w:type="dxa" w:w="1984"/>
            <w:shd w:val="clear" w:fill="E8F0F8" w:color="auto"/>
          </w:tcPr>
          <w:p>
            <w:pPr>
              <w:jc w:val="right"/>
            </w:pPr>
            <w:r/>
            <w:r>
              <w:rPr>
                <w:rFonts w:ascii="Arial" w:hAnsi="Arial"/>
                <w:sz w:val="19"/>
              </w:rPr>
              <w:t>+1.6pt</w:t>
            </w:r>
          </w:p>
        </w:tc>
      </w:tr>
      <w:tr>
        <w:tc>
          <w:tcPr>
            <w:tcW w:type="dxa" w:w="2835"/>
          </w:tcPr>
          <w:p>
            <w:r/>
            <w:r>
              <w:rPr>
                <w:rFonts w:ascii="Arial" w:hAnsi="Arial"/>
                <w:sz w:val="19"/>
              </w:rPr>
              <w:t>学校推薦型選抜</w:t>
            </w:r>
          </w:p>
        </w:tc>
        <w:tc>
          <w:tcPr>
            <w:tcW w:type="dxa" w:w="1984"/>
          </w:tcPr>
          <w:p>
            <w:pPr>
              <w:jc w:val="right"/>
            </w:pPr>
            <w:r/>
            <w:r>
              <w:rPr>
                <w:rFonts w:ascii="Arial" w:hAnsi="Arial"/>
                <w:sz w:val="19"/>
              </w:rPr>
              <w:t>約21.5万人</w:t>
            </w:r>
          </w:p>
        </w:tc>
        <w:tc>
          <w:tcPr>
            <w:tcW w:type="dxa" w:w="1984"/>
          </w:tcPr>
          <w:p>
            <w:pPr>
              <w:jc w:val="right"/>
            </w:pPr>
            <w:r/>
            <w:r>
              <w:rPr>
                <w:rFonts w:ascii="Arial" w:hAnsi="Arial"/>
                <w:sz w:val="19"/>
              </w:rPr>
              <w:t>35.0%</w:t>
            </w:r>
          </w:p>
        </w:tc>
        <w:tc>
          <w:tcPr>
            <w:tcW w:type="dxa" w:w="1984"/>
          </w:tcPr>
          <w:p>
            <w:pPr>
              <w:jc w:val="right"/>
            </w:pPr>
            <w:r/>
            <w:r>
              <w:rPr>
                <w:rFonts w:ascii="Arial" w:hAnsi="Arial"/>
                <w:sz w:val="19"/>
              </w:rPr>
              <w:t>−</w:t>
            </w:r>
          </w:p>
        </w:tc>
      </w:tr>
      <w:tr>
        <w:tc>
          <w:tcPr>
            <w:tcW w:type="dxa" w:w="2835"/>
            <w:shd w:val="clear" w:fill="D5E8F0" w:color="auto"/>
          </w:tcPr>
          <w:p>
            <w:r/>
            <w:r>
              <w:rPr>
                <w:rFonts w:ascii="Arial" w:hAnsi="Arial"/>
                <w:b/>
                <w:sz w:val="19"/>
              </w:rPr>
              <w:t>合計</w:t>
            </w:r>
          </w:p>
        </w:tc>
        <w:tc>
          <w:tcPr>
            <w:tcW w:type="dxa" w:w="1984"/>
            <w:shd w:val="clear" w:fill="D5E8F0" w:color="auto"/>
          </w:tcPr>
          <w:p>
            <w:pPr>
              <w:jc w:val="right"/>
            </w:pPr>
            <w:r/>
            <w:r>
              <w:rPr>
                <w:rFonts w:ascii="Arial" w:hAnsi="Arial"/>
                <w:b/>
                <w:sz w:val="19"/>
              </w:rPr>
              <w:t>約31.4万人</w:t>
            </w:r>
          </w:p>
        </w:tc>
        <w:tc>
          <w:tcPr>
            <w:tcW w:type="dxa" w:w="1984"/>
            <w:shd w:val="clear" w:fill="D5E8F0" w:color="auto"/>
          </w:tcPr>
          <w:p>
            <w:pPr>
              <w:jc w:val="right"/>
            </w:pPr>
            <w:r/>
            <w:r>
              <w:rPr>
                <w:rFonts w:ascii="Arial" w:hAnsi="Arial"/>
                <w:b/>
                <w:sz w:val="19"/>
              </w:rPr>
              <w:t>51.0%</w:t>
            </w:r>
          </w:p>
        </w:tc>
        <w:tc>
          <w:tcPr>
            <w:tcW w:type="dxa" w:w="1984"/>
            <w:shd w:val="clear" w:fill="D5E8F0" w:color="auto"/>
          </w:tcPr>
          <w:p>
            <w:pPr>
              <w:jc w:val="right"/>
            </w:pPr>
            <w:r/>
            <w:r>
              <w:rPr>
                <w:rFonts w:ascii="Arial" w:hAnsi="Arial"/>
                <w:b/>
                <w:sz w:val="19"/>
              </w:rPr>
              <w:t>—</w:t>
            </w:r>
          </w:p>
        </w:tc>
      </w:tr>
    </w:tbl>
    <w:p/>
    <w:p>
      <w:pPr>
        <w:spacing w:after="80"/>
      </w:pPr>
      <w:r>
        <w:rPr>
          <w:rFonts w:ascii="Arial" w:hAnsi="Arial"/>
          <w:color w:val="555555"/>
          <w:sz w:val="18"/>
        </w:rPr>
        <w:t>※ 2024年度入試実績（文部科学省統計）に基づく</w:t>
      </w:r>
    </w:p>
    <w:p>
      <w:pPr>
        <w:pStyle w:val="Heading2"/>
      </w:pPr>
      <w:r>
        <w:t>3.2 市場規模の試算</w:t>
      </w:r>
    </w:p>
    <w:p>
      <w:r>
        <w:t>総合型選抜対策塾の費用相場は年間50〜150万円である。受験生1人あたりの平均支出を保守的に見積もった場合の市場規模は以下の通りである。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fill="1B3A5C" w:color="auto"/>
          </w:tcPr>
          <w:p>
            <w:pPr>
              <w:jc w:val="center"/>
            </w:pPr>
            <w:r/>
            <w:r>
              <w:rPr>
                <w:rFonts w:ascii="Arial" w:hAnsi="Arial"/>
                <w:b/>
                <w:color w:val="FFFFFF"/>
                <w:sz w:val="19"/>
              </w:rPr>
              <w:t>区分</w:t>
            </w:r>
          </w:p>
        </w:tc>
        <w:tc>
          <w:tcPr>
            <w:tcW w:type="dxa" w:w="2835"/>
            <w:shd w:val="clear" w:fill="1B3A5C" w:color="auto"/>
          </w:tcPr>
          <w:p>
            <w:pPr>
              <w:jc w:val="center"/>
            </w:pPr>
            <w:r/>
            <w:r>
              <w:rPr>
                <w:rFonts w:ascii="Arial" w:hAnsi="Arial"/>
                <w:b/>
                <w:color w:val="FFFFFF"/>
                <w:sz w:val="19"/>
              </w:rPr>
              <w:t>対象</w:t>
            </w:r>
          </w:p>
        </w:tc>
        <w:tc>
          <w:tcPr>
            <w:tcW w:type="dxa" w:w="2268"/>
            <w:shd w:val="clear" w:fill="1B3A5C" w:color="auto"/>
          </w:tcPr>
          <w:p>
            <w:pPr>
              <w:jc w:val="center"/>
            </w:pPr>
            <w:r/>
            <w:r>
              <w:rPr>
                <w:rFonts w:ascii="Arial" w:hAnsi="Arial"/>
                <w:b/>
                <w:color w:val="FFFFFF"/>
                <w:sz w:val="19"/>
              </w:rPr>
              <w:t>規模（人数）</w:t>
            </w:r>
          </w:p>
        </w:tc>
        <w:tc>
          <w:tcPr>
            <w:tcW w:type="dxa" w:w="2268"/>
            <w:shd w:val="clear" w:fill="1B3A5C" w:color="auto"/>
          </w:tcPr>
          <w:p>
            <w:pPr>
              <w:jc w:val="center"/>
            </w:pPr>
            <w:r/>
            <w:r>
              <w:rPr>
                <w:rFonts w:ascii="Arial" w:hAnsi="Arial"/>
                <w:b/>
                <w:color w:val="FFFFFF"/>
                <w:sz w:val="19"/>
              </w:rPr>
              <w:t>推定市場規模</w:t>
            </w:r>
          </w:p>
        </w:tc>
      </w:tr>
      <w:tr>
        <w:tc>
          <w:tcPr>
            <w:tcW w:type="dxa" w:w="1417"/>
            <w:shd w:val="clear" w:fill="E8F0F8" w:color="auto"/>
          </w:tcPr>
          <w:p>
            <w:r/>
            <w:r>
              <w:rPr>
                <w:rFonts w:ascii="Arial" w:hAnsi="Arial"/>
                <w:b/>
                <w:sz w:val="19"/>
              </w:rPr>
              <w:t>TAM</w:t>
            </w:r>
          </w:p>
        </w:tc>
        <w:tc>
          <w:tcPr>
            <w:tcW w:type="dxa" w:w="2835"/>
            <w:shd w:val="clear" w:fill="E8F0F8" w:color="auto"/>
          </w:tcPr>
          <w:p>
            <w:r/>
            <w:r>
              <w:rPr>
                <w:rFonts w:ascii="Arial" w:hAnsi="Arial"/>
                <w:sz w:val="19"/>
              </w:rPr>
              <w:t>推薦系受験生全体</w:t>
            </w:r>
          </w:p>
        </w:tc>
        <w:tc>
          <w:tcPr>
            <w:tcW w:type="dxa" w:w="2268"/>
            <w:shd w:val="clear" w:fill="E8F0F8" w:color="auto"/>
          </w:tcPr>
          <w:p>
            <w:pPr>
              <w:jc w:val="right"/>
            </w:pPr>
            <w:r/>
            <w:r>
              <w:rPr>
                <w:rFonts w:ascii="Arial" w:hAnsi="Arial"/>
                <w:sz w:val="19"/>
              </w:rPr>
              <w:t>約31.4万人/年</w:t>
            </w:r>
          </w:p>
        </w:tc>
        <w:tc>
          <w:tcPr>
            <w:tcW w:type="dxa" w:w="2268"/>
            <w:shd w:val="clear" w:fill="E8F0F8" w:color="auto"/>
          </w:tcPr>
          <w:p>
            <w:pPr>
              <w:jc w:val="right"/>
            </w:pPr>
            <w:r/>
            <w:r>
              <w:rPr>
                <w:rFonts w:ascii="Arial" w:hAnsi="Arial"/>
                <w:sz w:val="19"/>
              </w:rPr>
              <w:t>約500〜1,500億円</w:t>
            </w:r>
          </w:p>
        </w:tc>
      </w:tr>
      <w:tr>
        <w:tc>
          <w:tcPr>
            <w:tcW w:type="dxa" w:w="1417"/>
          </w:tcPr>
          <w:p>
            <w:r/>
            <w:r>
              <w:rPr>
                <w:rFonts w:ascii="Arial" w:hAnsi="Arial"/>
                <w:b/>
                <w:sz w:val="19"/>
              </w:rPr>
              <w:t>SAM</w:t>
            </w:r>
          </w:p>
        </w:tc>
        <w:tc>
          <w:tcPr>
            <w:tcW w:type="dxa" w:w="2835"/>
          </w:tcPr>
          <w:p>
            <w:r/>
            <w:r>
              <w:rPr>
                <w:rFonts w:ascii="Arial" w:hAnsi="Arial"/>
                <w:sz w:val="19"/>
              </w:rPr>
              <w:t>総合型選抜受験生</w:t>
            </w:r>
          </w:p>
        </w:tc>
        <w:tc>
          <w:tcPr>
            <w:tcW w:type="dxa" w:w="2268"/>
          </w:tcPr>
          <w:p>
            <w:pPr>
              <w:jc w:val="right"/>
            </w:pPr>
            <w:r/>
            <w:r>
              <w:rPr>
                <w:rFonts w:ascii="Arial" w:hAnsi="Arial"/>
                <w:sz w:val="19"/>
              </w:rPr>
              <w:t>約10万人/年</w:t>
            </w:r>
          </w:p>
        </w:tc>
        <w:tc>
          <w:tcPr>
            <w:tcW w:type="dxa" w:w="2268"/>
          </w:tcPr>
          <w:p>
            <w:pPr>
              <w:jc w:val="right"/>
            </w:pPr>
            <w:r/>
            <w:r>
              <w:rPr>
                <w:rFonts w:ascii="Arial" w:hAnsi="Arial"/>
                <w:sz w:val="19"/>
              </w:rPr>
              <w:t>約170〜500億円</w:t>
            </w:r>
          </w:p>
        </w:tc>
      </w:tr>
      <w:tr>
        <w:tc>
          <w:tcPr>
            <w:tcW w:type="dxa" w:w="1417"/>
            <w:shd w:val="clear" w:fill="E8F0F8" w:color="auto"/>
          </w:tcPr>
          <w:p>
            <w:r/>
            <w:r>
              <w:rPr>
                <w:rFonts w:ascii="Arial" w:hAnsi="Arial"/>
                <w:b/>
                <w:sz w:val="19"/>
              </w:rPr>
              <w:t>SOM</w:t>
            </w:r>
          </w:p>
        </w:tc>
        <w:tc>
          <w:tcPr>
            <w:tcW w:type="dxa" w:w="2835"/>
            <w:shd w:val="clear" w:fill="E8F0F8" w:color="auto"/>
          </w:tcPr>
          <w:p>
            <w:r/>
            <w:r>
              <w:rPr>
                <w:rFonts w:ascii="Arial" w:hAnsi="Arial"/>
                <w:sz w:val="19"/>
              </w:rPr>
              <w:t>オンラインで能動的に対策を探す層</w:t>
            </w:r>
          </w:p>
        </w:tc>
        <w:tc>
          <w:tcPr>
            <w:tcW w:type="dxa" w:w="2268"/>
            <w:shd w:val="clear" w:fill="E8F0F8" w:color="auto"/>
          </w:tcPr>
          <w:p>
            <w:pPr>
              <w:jc w:val="right"/>
            </w:pPr>
            <w:r/>
            <w:r>
              <w:rPr>
                <w:rFonts w:ascii="Arial" w:hAnsi="Arial"/>
                <w:sz w:val="19"/>
              </w:rPr>
              <w:t>約1〜3万人/年</w:t>
            </w:r>
          </w:p>
        </w:tc>
        <w:tc>
          <w:tcPr>
            <w:tcW w:type="dxa" w:w="2268"/>
            <w:shd w:val="clear" w:fill="E8F0F8" w:color="auto"/>
          </w:tcPr>
          <w:p>
            <w:pPr>
              <w:jc w:val="right"/>
            </w:pPr>
            <w:r/>
            <w:r>
              <w:rPr>
                <w:rFonts w:ascii="Arial" w:hAnsi="Arial"/>
                <w:sz w:val="19"/>
              </w:rPr>
              <w:t>約15〜50億円</w:t>
            </w:r>
          </w:p>
        </w:tc>
      </w:tr>
    </w:tbl>
    <w:p/>
    <w:p>
      <w:r>
        <w:t>学習塾業界全体の市場規模は約5,800億円（2023年）で前年比4%成長しており、総合型選抜比率の上昇に伴い、当該領域の成長率は業界平均を上回ると推定される。</w:t>
      </w:r>
    </w:p>
    <w:p>
      <w:pPr>
        <w:pStyle w:val="Heading2"/>
      </w:pPr>
      <w:r>
        <w:t>3.3 市場トレンド</w:t>
      </w:r>
    </w:p>
    <w:p>
      <w:r>
        <w:t>1. 総合型選抜の拡大：入学者に占める推薦系の割合は毎年1.5〜2ポイント上昇しており、市場自体が拡大し続けている</w:t>
      </w:r>
    </w:p>
    <w:p>
      <w:r>
        <w:t>2. 2026年度入試からの学力試験解禁：総合型選抜での個別テストが実質的に解禁され、対策の必要性が一層高まる</w:t>
      </w:r>
    </w:p>
    <w:p>
      <w:r>
        <w:t>3. AI活用の社会的受容：受験生世代はAIツールへの抵抗感が低く、「AI添削」というコンセプト自体が自然に受け入れられやすい環境にある</w:t>
      </w:r>
    </w:p>
    <w:p>
      <w:pPr>
        <w:pBdr>
          <w:bottom w:val="single" w:sz="4" w:space="1" w:color="B0C4DE"/>
        </w:pBdr>
      </w:pPr>
    </w:p>
    <w:p>
      <w:pPr>
        <w:pStyle w:val="Heading1"/>
      </w:pPr>
      <w:r>
        <w:t>4. 競合分析</w:t>
      </w:r>
    </w:p>
    <w:p>
      <w:pPr>
        <w:pStyle w:val="Heading2"/>
      </w:pPr>
      <w:r>
        <w:t>4.1 競合環境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fill="1B3A5C" w:color="auto"/>
          </w:tcPr>
          <w:p>
            <w:pPr>
              <w:jc w:val="center"/>
            </w:pPr>
            <w:r/>
            <w:r>
              <w:rPr>
                <w:rFonts w:ascii="Arial" w:hAnsi="Arial"/>
                <w:b/>
                <w:color w:val="FFFFFF"/>
                <w:sz w:val="19"/>
              </w:rPr>
              <w:t>競合カテゴリ</w:t>
            </w:r>
          </w:p>
        </w:tc>
        <w:tc>
          <w:tcPr>
            <w:tcW w:type="dxa" w:w="1701"/>
            <w:shd w:val="clear" w:fill="1B3A5C" w:color="auto"/>
          </w:tcPr>
          <w:p>
            <w:pPr>
              <w:jc w:val="center"/>
            </w:pPr>
            <w:r/>
            <w:r>
              <w:rPr>
                <w:rFonts w:ascii="Arial" w:hAnsi="Arial"/>
                <w:b/>
                <w:color w:val="FFFFFF"/>
                <w:sz w:val="19"/>
              </w:rPr>
              <w:t>代表例</w:t>
            </w:r>
          </w:p>
        </w:tc>
        <w:tc>
          <w:tcPr>
            <w:tcW w:type="dxa" w:w="1701"/>
            <w:shd w:val="clear" w:fill="1B3A5C" w:color="auto"/>
          </w:tcPr>
          <w:p>
            <w:pPr>
              <w:jc w:val="center"/>
            </w:pPr>
            <w:r/>
            <w:r>
              <w:rPr>
                <w:rFonts w:ascii="Arial" w:hAnsi="Arial"/>
                <w:b/>
                <w:color w:val="FFFFFF"/>
                <w:sz w:val="19"/>
              </w:rPr>
              <w:t>価格帯</w:t>
            </w:r>
          </w:p>
        </w:tc>
        <w:tc>
          <w:tcPr>
            <w:tcW w:type="dxa" w:w="1984"/>
            <w:shd w:val="clear" w:fill="1B3A5C" w:color="auto"/>
          </w:tcPr>
          <w:p>
            <w:pPr>
              <w:jc w:val="center"/>
            </w:pPr>
            <w:r/>
            <w:r>
              <w:rPr>
                <w:rFonts w:ascii="Arial" w:hAnsi="Arial"/>
                <w:b/>
                <w:color w:val="FFFFFF"/>
                <w:sz w:val="19"/>
              </w:rPr>
              <w:t>強み</w:t>
            </w:r>
          </w:p>
        </w:tc>
        <w:tc>
          <w:tcPr>
            <w:tcW w:type="dxa" w:w="1984"/>
            <w:shd w:val="clear" w:fill="1B3A5C" w:color="auto"/>
          </w:tcPr>
          <w:p>
            <w:pPr>
              <w:jc w:val="center"/>
            </w:pPr>
            <w:r/>
            <w:r>
              <w:rPr>
                <w:rFonts w:ascii="Arial" w:hAnsi="Arial"/>
                <w:b/>
                <w:color w:val="FFFFFF"/>
                <w:sz w:val="19"/>
              </w:rPr>
              <w:t>弱み</w:t>
            </w:r>
          </w:p>
        </w:tc>
      </w:tr>
      <w:tr>
        <w:tc>
          <w:tcPr>
            <w:tcW w:type="dxa" w:w="1701"/>
            <w:shd w:val="clear" w:fill="E8F0F8" w:color="auto"/>
          </w:tcPr>
          <w:p>
            <w:r/>
            <w:r>
              <w:rPr>
                <w:rFonts w:ascii="Arial" w:hAnsi="Arial"/>
                <w:sz w:val="19"/>
              </w:rPr>
              <w:t>総合型選抜専門塾</w:t>
            </w:r>
          </w:p>
        </w:tc>
        <w:tc>
          <w:tcPr>
            <w:tcW w:type="dxa" w:w="1701"/>
            <w:shd w:val="clear" w:fill="E8F0F8" w:color="auto"/>
          </w:tcPr>
          <w:p>
            <w:r/>
            <w:r>
              <w:rPr>
                <w:rFonts w:ascii="Arial" w:hAnsi="Arial"/>
                <w:sz w:val="19"/>
              </w:rPr>
              <w:t>AOI、早稲田塾</w:t>
            </w:r>
          </w:p>
        </w:tc>
        <w:tc>
          <w:tcPr>
            <w:tcW w:type="dxa" w:w="1701"/>
            <w:shd w:val="clear" w:fill="E8F0F8" w:color="auto"/>
          </w:tcPr>
          <w:p>
            <w:r/>
            <w:r>
              <w:rPr>
                <w:rFonts w:ascii="Arial" w:hAnsi="Arial"/>
                <w:sz w:val="19"/>
              </w:rPr>
              <w:t>50〜150万円/年</w:t>
            </w:r>
          </w:p>
        </w:tc>
        <w:tc>
          <w:tcPr>
            <w:tcW w:type="dxa" w:w="1984"/>
            <w:shd w:val="clear" w:fill="E8F0F8" w:color="auto"/>
          </w:tcPr>
          <w:p>
            <w:r/>
            <w:r>
              <w:rPr>
                <w:rFonts w:ascii="Arial" w:hAnsi="Arial"/>
                <w:sz w:val="19"/>
              </w:rPr>
              <w:t>合格実績・信頼性</w:t>
            </w:r>
          </w:p>
        </w:tc>
        <w:tc>
          <w:tcPr>
            <w:tcW w:type="dxa" w:w="1984"/>
            <w:shd w:val="clear" w:fill="E8F0F8" w:color="auto"/>
          </w:tcPr>
          <w:p>
            <w:r/>
            <w:r>
              <w:rPr>
                <w:rFonts w:ascii="Arial" w:hAnsi="Arial"/>
                <w:sz w:val="19"/>
              </w:rPr>
              <w:t>高額・通塾必要</w:t>
            </w:r>
          </w:p>
        </w:tc>
      </w:tr>
      <w:tr>
        <w:tc>
          <w:tcPr>
            <w:tcW w:type="dxa" w:w="1701"/>
          </w:tcPr>
          <w:p>
            <w:r/>
            <w:r>
              <w:rPr>
                <w:rFonts w:ascii="Arial" w:hAnsi="Arial"/>
                <w:sz w:val="19"/>
              </w:rPr>
              <w:t>B2B AI添削</w:t>
            </w:r>
          </w:p>
        </w:tc>
        <w:tc>
          <w:tcPr>
            <w:tcW w:type="dxa" w:w="1701"/>
          </w:tcPr>
          <w:p>
            <w:r/>
            <w:r>
              <w:rPr>
                <w:rFonts w:ascii="Arial" w:hAnsi="Arial"/>
                <w:sz w:val="19"/>
              </w:rPr>
              <w:t>学研、Ed.Network</w:t>
            </w:r>
          </w:p>
        </w:tc>
        <w:tc>
          <w:tcPr>
            <w:tcW w:type="dxa" w:w="1701"/>
          </w:tcPr>
          <w:p>
            <w:r/>
            <w:r>
              <w:rPr>
                <w:rFonts w:ascii="Arial" w:hAnsi="Arial"/>
                <w:sz w:val="19"/>
              </w:rPr>
              <w:t>学校単位契約</w:t>
            </w:r>
          </w:p>
        </w:tc>
        <w:tc>
          <w:tcPr>
            <w:tcW w:type="dxa" w:w="1984"/>
          </w:tcPr>
          <w:p>
            <w:r/>
            <w:r>
              <w:rPr>
                <w:rFonts w:ascii="Arial" w:hAnsi="Arial"/>
                <w:sz w:val="19"/>
              </w:rPr>
              <w:t>教育機関との連携</w:t>
            </w:r>
          </w:p>
        </w:tc>
        <w:tc>
          <w:tcPr>
            <w:tcW w:type="dxa" w:w="1984"/>
          </w:tcPr>
          <w:p>
            <w:r/>
            <w:r>
              <w:rPr>
                <w:rFonts w:ascii="Arial" w:hAnsi="Arial"/>
                <w:sz w:val="19"/>
              </w:rPr>
              <w:t>個人利用不可</w:t>
            </w:r>
          </w:p>
        </w:tc>
      </w:tr>
      <w:tr>
        <w:tc>
          <w:tcPr>
            <w:tcW w:type="dxa" w:w="1701"/>
            <w:shd w:val="clear" w:fill="E8F0F8" w:color="auto"/>
          </w:tcPr>
          <w:p>
            <w:r/>
            <w:r>
              <w:rPr>
                <w:rFonts w:ascii="Arial" w:hAnsi="Arial"/>
                <w:sz w:val="19"/>
              </w:rPr>
              <w:t>就活向けAI添削</w:t>
            </w:r>
          </w:p>
        </w:tc>
        <w:tc>
          <w:tcPr>
            <w:tcW w:type="dxa" w:w="1701"/>
            <w:shd w:val="clear" w:fill="E8F0F8" w:color="auto"/>
          </w:tcPr>
          <w:p>
            <w:r/>
            <w:r>
              <w:rPr>
                <w:rFonts w:ascii="Arial" w:hAnsi="Arial"/>
                <w:sz w:val="19"/>
              </w:rPr>
              <w:t>就活AI、SmartES</w:t>
            </w:r>
          </w:p>
        </w:tc>
        <w:tc>
          <w:tcPr>
            <w:tcW w:type="dxa" w:w="1701"/>
            <w:shd w:val="clear" w:fill="E8F0F8" w:color="auto"/>
          </w:tcPr>
          <w:p>
            <w:r/>
            <w:r>
              <w:rPr>
                <w:rFonts w:ascii="Arial" w:hAnsi="Arial"/>
                <w:sz w:val="19"/>
              </w:rPr>
              <w:t>無料〜</w:t>
            </w:r>
          </w:p>
        </w:tc>
        <w:tc>
          <w:tcPr>
            <w:tcW w:type="dxa" w:w="1984"/>
            <w:shd w:val="clear" w:fill="E8F0F8" w:color="auto"/>
          </w:tcPr>
          <w:p>
            <w:r/>
            <w:r>
              <w:rPr>
                <w:rFonts w:ascii="Arial" w:hAnsi="Arial"/>
                <w:sz w:val="19"/>
              </w:rPr>
              <w:t>無料・即時</w:t>
            </w:r>
          </w:p>
        </w:tc>
        <w:tc>
          <w:tcPr>
            <w:tcW w:type="dxa" w:w="1984"/>
            <w:shd w:val="clear" w:fill="E8F0F8" w:color="auto"/>
          </w:tcPr>
          <w:p>
            <w:r/>
            <w:r>
              <w:rPr>
                <w:rFonts w:ascii="Arial" w:hAnsi="Arial"/>
                <w:sz w:val="19"/>
              </w:rPr>
              <w:t>大学受験非対応</w:t>
            </w:r>
          </w:p>
        </w:tc>
      </w:tr>
      <w:tr>
        <w:tc>
          <w:tcPr>
            <w:tcW w:type="dxa" w:w="1701"/>
          </w:tcPr>
          <w:p>
            <w:r/>
            <w:r>
              <w:rPr>
                <w:rFonts w:ascii="Arial" w:hAnsi="Arial"/>
                <w:sz w:val="19"/>
              </w:rPr>
              <w:t>汎用AI（ChatGPT等）</w:t>
            </w:r>
          </w:p>
        </w:tc>
        <w:tc>
          <w:tcPr>
            <w:tcW w:type="dxa" w:w="1701"/>
          </w:tcPr>
          <w:p>
            <w:r/>
            <w:r>
              <w:rPr>
                <w:rFonts w:ascii="Arial" w:hAnsi="Arial"/>
                <w:sz w:val="19"/>
              </w:rPr>
              <w:t>ChatGPT、Claude</w:t>
            </w:r>
          </w:p>
        </w:tc>
        <w:tc>
          <w:tcPr>
            <w:tcW w:type="dxa" w:w="1701"/>
          </w:tcPr>
          <w:p>
            <w:r/>
            <w:r>
              <w:rPr>
                <w:rFonts w:ascii="Arial" w:hAnsi="Arial"/>
                <w:sz w:val="19"/>
              </w:rPr>
              <w:t>無料〜月額2,000円程度</w:t>
            </w:r>
          </w:p>
        </w:tc>
        <w:tc>
          <w:tcPr>
            <w:tcW w:type="dxa" w:w="1984"/>
          </w:tcPr>
          <w:p>
            <w:r/>
            <w:r>
              <w:rPr>
                <w:rFonts w:ascii="Arial" w:hAnsi="Arial"/>
                <w:sz w:val="19"/>
              </w:rPr>
              <w:t>汎用性が高い</w:t>
            </w:r>
          </w:p>
        </w:tc>
        <w:tc>
          <w:tcPr>
            <w:tcW w:type="dxa" w:w="1984"/>
          </w:tcPr>
          <w:p>
            <w:r/>
            <w:r>
              <w:rPr>
                <w:rFonts w:ascii="Arial" w:hAnsi="Arial"/>
                <w:sz w:val="19"/>
              </w:rPr>
              <w:t>専門性がない</w:t>
            </w:r>
          </w:p>
        </w:tc>
      </w:tr>
    </w:tbl>
    <w:p/>
    <w:p>
      <w:pPr>
        <w:pStyle w:val="Heading2"/>
      </w:pPr>
      <w:r>
        <w:t>4.2 競争優位性</w:t>
      </w:r>
    </w:p>
    <w:p>
      <w:r>
        <w:t>本サービスの競争優位性は以下の3点に集約される。</w:t>
      </w:r>
    </w:p>
    <w:p>
      <w:r>
        <w:rPr>
          <w:rFonts w:ascii="Arial" w:hAnsi="Arial"/>
          <w:b/>
          <w:sz w:val="21"/>
        </w:rPr>
        <w:t>第一に、価格障壁の排除。</w:t>
      </w:r>
      <w:r>
        <w:rPr>
          <w:rFonts w:ascii="Arial" w:hAnsi="Arial"/>
          <w:sz w:val="21"/>
        </w:rPr>
        <w:t>無料の即時添削により、塾に通う経済的余裕のない受験生も専門的な添削を受けられる。これは市場拡大の余地が大きいことを意味する。</w:t>
      </w:r>
    </w:p>
    <w:p>
      <w:r>
        <w:rPr>
          <w:rFonts w:ascii="Arial" w:hAnsi="Arial"/>
          <w:b/>
          <w:sz w:val="21"/>
        </w:rPr>
        <w:t>第二に、専門特化型のAI。</w:t>
      </w:r>
      <w:r>
        <w:rPr>
          <w:rFonts w:ascii="Arial" w:hAnsi="Arial"/>
          <w:sz w:val="21"/>
        </w:rPr>
        <w:t>総合型選抜の評価基準や大学別の傾向を踏まえた添削は、汎用AIには提供できない価値である。</w:t>
      </w:r>
    </w:p>
    <w:p>
      <w:r>
        <w:rPr>
          <w:rFonts w:ascii="Arial" w:hAnsi="Arial"/>
          <w:b/>
          <w:sz w:val="21"/>
        </w:rPr>
        <w:t>第三に、コスト構造。</w:t>
      </w:r>
      <w:r>
        <w:rPr>
          <w:rFonts w:ascii="Arial" w:hAnsi="Arial"/>
          <w:sz w:val="21"/>
        </w:rPr>
        <w:t>裏側がAI対応であるため、講師の人件費がかからず、原価はほぼAPIコストのみである。これにより、塾の10分の1以下の価格でも高い粗利率を維持できる。</w:t>
      </w:r>
    </w:p>
    <w:p>
      <w:pPr>
        <w:pBdr>
          <w:bottom w:val="single" w:sz="4" w:space="1" w:color="B0C4DE"/>
        </w:pBdr>
      </w:pPr>
    </w:p>
    <w:p>
      <w:pPr>
        <w:pStyle w:val="Heading1"/>
      </w:pPr>
      <w:r>
        <w:t>5. ビジネスモデル</w:t>
      </w:r>
    </w:p>
    <w:p>
      <w:pPr>
        <w:pStyle w:val="Heading2"/>
      </w:pPr>
      <w:r>
        <w:t>5.1 収益構造</w:t>
      </w:r>
    </w:p>
    <w:p>
      <w:r>
        <w:t>収益は以下の2本柱で構成する。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1B3A5C" w:color="auto"/>
          </w:tcPr>
          <w:p>
            <w:pPr>
              <w:jc w:val="center"/>
            </w:pPr>
            <w:r/>
            <w:r>
              <w:rPr>
                <w:rFonts w:ascii="Arial" w:hAnsi="Arial"/>
                <w:b/>
                <w:color w:val="FFFFFF"/>
                <w:sz w:val="19"/>
              </w:rPr>
              <w:t>収益源</w:t>
            </w:r>
          </w:p>
        </w:tc>
        <w:tc>
          <w:tcPr>
            <w:tcW w:type="dxa" w:w="2268"/>
            <w:shd w:val="clear" w:fill="1B3A5C" w:color="auto"/>
          </w:tcPr>
          <w:p>
            <w:pPr>
              <w:jc w:val="center"/>
            </w:pPr>
            <w:r/>
            <w:r>
              <w:rPr>
                <w:rFonts w:ascii="Arial" w:hAnsi="Arial"/>
                <w:b/>
                <w:color w:val="FFFFFF"/>
                <w:sz w:val="19"/>
              </w:rPr>
              <w:t>形態</w:t>
            </w:r>
          </w:p>
        </w:tc>
        <w:tc>
          <w:tcPr>
            <w:tcW w:type="dxa" w:w="2268"/>
            <w:shd w:val="clear" w:fill="1B3A5C" w:color="auto"/>
          </w:tcPr>
          <w:p>
            <w:pPr>
              <w:jc w:val="center"/>
            </w:pPr>
            <w:r/>
            <w:r>
              <w:rPr>
                <w:rFonts w:ascii="Arial" w:hAnsi="Arial"/>
                <w:b/>
                <w:color w:val="FFFFFF"/>
                <w:sz w:val="19"/>
              </w:rPr>
              <w:t>想定価格</w:t>
            </w:r>
          </w:p>
        </w:tc>
        <w:tc>
          <w:tcPr>
            <w:tcW w:type="dxa" w:w="2268"/>
            <w:shd w:val="clear" w:fill="1B3A5C" w:color="auto"/>
          </w:tcPr>
          <w:p>
            <w:pPr>
              <w:jc w:val="center"/>
            </w:pPr>
            <w:r/>
            <w:r>
              <w:rPr>
                <w:rFonts w:ascii="Arial" w:hAnsi="Arial"/>
                <w:b/>
                <w:color w:val="FFFFFF"/>
                <w:sz w:val="19"/>
              </w:rPr>
              <w:t>開始時期</w:t>
            </w:r>
          </w:p>
        </w:tc>
      </w:tr>
      <w:tr>
        <w:tc>
          <w:tcPr>
            <w:tcW w:type="dxa" w:w="2268"/>
            <w:shd w:val="clear" w:fill="E8F0F8" w:color="auto"/>
          </w:tcPr>
          <w:p>
            <w:r/>
            <w:r>
              <w:rPr>
                <w:rFonts w:ascii="Arial" w:hAnsi="Arial"/>
                <w:sz w:val="19"/>
              </w:rPr>
              <w:t>有料チャット相談</w:t>
            </w:r>
          </w:p>
        </w:tc>
        <w:tc>
          <w:tcPr>
            <w:tcW w:type="dxa" w:w="2268"/>
            <w:shd w:val="clear" w:fill="E8F0F8" w:color="auto"/>
          </w:tcPr>
          <w:p>
            <w:r/>
            <w:r>
              <w:rPr>
                <w:rFonts w:ascii="Arial" w:hAnsi="Arial"/>
                <w:sz w:val="19"/>
              </w:rPr>
              <w:t>月額サブスクリプション</w:t>
            </w:r>
          </w:p>
        </w:tc>
        <w:tc>
          <w:tcPr>
            <w:tcW w:type="dxa" w:w="2268"/>
            <w:shd w:val="clear" w:fill="E8F0F8" w:color="auto"/>
          </w:tcPr>
          <w:p>
            <w:r/>
            <w:r>
              <w:rPr>
                <w:rFonts w:ascii="Arial" w:hAnsi="Arial"/>
                <w:sz w:val="19"/>
              </w:rPr>
              <w:t>月額3,000〜5,000円</w:t>
            </w:r>
          </w:p>
        </w:tc>
        <w:tc>
          <w:tcPr>
            <w:tcW w:type="dxa" w:w="2268"/>
            <w:shd w:val="clear" w:fill="E8F0F8" w:color="auto"/>
          </w:tcPr>
          <w:p>
            <w:r/>
            <w:r>
              <w:rPr>
                <w:rFonts w:ascii="Arial" w:hAnsi="Arial"/>
                <w:sz w:val="19"/>
              </w:rPr>
              <w:t>Phase 2</w:t>
            </w:r>
          </w:p>
        </w:tc>
      </w:tr>
      <w:tr>
        <w:tc>
          <w:tcPr>
            <w:tcW w:type="dxa" w:w="2268"/>
          </w:tcPr>
          <w:p>
            <w:r/>
            <w:r>
              <w:rPr>
                <w:rFonts w:ascii="Arial" w:hAnsi="Arial"/>
                <w:sz w:val="19"/>
              </w:rPr>
              <w:t>広告収入</w:t>
            </w:r>
          </w:p>
        </w:tc>
        <w:tc>
          <w:tcPr>
            <w:tcW w:type="dxa" w:w="2268"/>
          </w:tcPr>
          <w:p>
            <w:r/>
            <w:r>
              <w:rPr>
                <w:rFonts w:ascii="Arial" w:hAnsi="Arial"/>
                <w:sz w:val="19"/>
              </w:rPr>
              <w:t>大学・塾の広告掲載</w:t>
            </w:r>
          </w:p>
        </w:tc>
        <w:tc>
          <w:tcPr>
            <w:tcW w:type="dxa" w:w="2268"/>
          </w:tcPr>
          <w:p>
            <w:r/>
            <w:r>
              <w:rPr>
                <w:rFonts w:ascii="Arial" w:hAnsi="Arial"/>
                <w:sz w:val="19"/>
              </w:rPr>
              <w:t>月額10〜50万円/社</w:t>
            </w:r>
          </w:p>
        </w:tc>
        <w:tc>
          <w:tcPr>
            <w:tcW w:type="dxa" w:w="2268"/>
          </w:tcPr>
          <w:p>
            <w:r/>
            <w:r>
              <w:rPr>
                <w:rFonts w:ascii="Arial" w:hAnsi="Arial"/>
                <w:sz w:val="19"/>
              </w:rPr>
              <w:t>Phase 2〜3</w:t>
            </w:r>
          </w:p>
        </w:tc>
      </w:tr>
    </w:tbl>
    <w:p/>
    <w:p>
      <w:pPr>
        <w:pStyle w:val="Heading2"/>
      </w:pPr>
      <w:r>
        <w:t>5.2 フリーミアムモデルの設計</w:t>
      </w:r>
    </w:p>
    <w:p>
      <w:r>
        <w:t>無料層と有料層の役割を明確に分けることで、自然なアップセル導線を構築する。</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1B3A5C" w:color="auto"/>
          </w:tcPr>
          <w:p>
            <w:pPr>
              <w:jc w:val="center"/>
            </w:pPr>
            <w:r/>
            <w:r>
              <w:rPr>
                <w:rFonts w:ascii="Arial" w:hAnsi="Arial"/>
                <w:b/>
                <w:color w:val="FFFFFF"/>
                <w:sz w:val="19"/>
              </w:rPr>
            </w:r>
          </w:p>
        </w:tc>
        <w:tc>
          <w:tcPr>
            <w:tcW w:type="dxa" w:w="3685"/>
            <w:shd w:val="clear" w:fill="1B3A5C" w:color="auto"/>
          </w:tcPr>
          <w:p>
            <w:pPr>
              <w:jc w:val="center"/>
            </w:pPr>
            <w:r/>
            <w:r>
              <w:rPr>
                <w:rFonts w:ascii="Arial" w:hAnsi="Arial"/>
                <w:b/>
                <w:color w:val="FFFFFF"/>
                <w:sz w:val="19"/>
              </w:rPr>
              <w:t>無料層（診断）</w:t>
            </w:r>
          </w:p>
        </w:tc>
        <w:tc>
          <w:tcPr>
            <w:tcW w:type="dxa" w:w="3685"/>
            <w:shd w:val="clear" w:fill="1B3A5C" w:color="auto"/>
          </w:tcPr>
          <w:p>
            <w:pPr>
              <w:jc w:val="center"/>
            </w:pPr>
            <w:r/>
            <w:r>
              <w:rPr>
                <w:rFonts w:ascii="Arial" w:hAnsi="Arial"/>
                <w:b/>
                <w:color w:val="FFFFFF"/>
                <w:sz w:val="19"/>
              </w:rPr>
              <w:t>有料層（処方）</w:t>
            </w:r>
          </w:p>
        </w:tc>
      </w:tr>
      <w:tr>
        <w:tc>
          <w:tcPr>
            <w:tcW w:type="dxa" w:w="1701"/>
            <w:shd w:val="clear" w:fill="E8F0F8" w:color="auto"/>
          </w:tcPr>
          <w:p>
            <w:r/>
            <w:r>
              <w:rPr>
                <w:rFonts w:ascii="Arial" w:hAnsi="Arial"/>
                <w:b/>
                <w:sz w:val="19"/>
              </w:rPr>
              <w:t>機能</w:t>
            </w:r>
          </w:p>
        </w:tc>
        <w:tc>
          <w:tcPr>
            <w:tcW w:type="dxa" w:w="3685"/>
            <w:shd w:val="clear" w:fill="E8F0F8" w:color="auto"/>
          </w:tcPr>
          <w:p>
            <w:r/>
            <w:r>
              <w:rPr>
                <w:rFonts w:ascii="Arial" w:hAnsi="Arial"/>
                <w:sz w:val="19"/>
              </w:rPr>
              <w:t>改善点の指摘・コメント</w:t>
            </w:r>
          </w:p>
        </w:tc>
        <w:tc>
          <w:tcPr>
            <w:tcW w:type="dxa" w:w="3685"/>
            <w:shd w:val="clear" w:fill="E8F0F8" w:color="auto"/>
          </w:tcPr>
          <w:p>
            <w:r/>
            <w:r>
              <w:rPr>
                <w:rFonts w:ascii="Arial" w:hAnsi="Arial"/>
                <w:sz w:val="19"/>
              </w:rPr>
              <w:t>具体的な書き直し方の壁打ち</w:t>
            </w:r>
          </w:p>
        </w:tc>
      </w:tr>
      <w:tr>
        <w:tc>
          <w:tcPr>
            <w:tcW w:type="dxa" w:w="1701"/>
          </w:tcPr>
          <w:p>
            <w:r/>
            <w:r>
              <w:rPr>
                <w:rFonts w:ascii="Arial" w:hAnsi="Arial"/>
                <w:b/>
                <w:sz w:val="19"/>
              </w:rPr>
              <w:t>形式</w:t>
            </w:r>
          </w:p>
        </w:tc>
        <w:tc>
          <w:tcPr>
            <w:tcW w:type="dxa" w:w="3685"/>
          </w:tcPr>
          <w:p>
            <w:r/>
            <w:r>
              <w:rPr>
                <w:rFonts w:ascii="Arial" w:hAnsi="Arial"/>
                <w:sz w:val="19"/>
              </w:rPr>
              <w:t>一方向のフィードバック</w:t>
            </w:r>
          </w:p>
        </w:tc>
        <w:tc>
          <w:tcPr>
            <w:tcW w:type="dxa" w:w="3685"/>
          </w:tcPr>
          <w:p>
            <w:r/>
            <w:r>
              <w:rPr>
                <w:rFonts w:ascii="Arial" w:hAnsi="Arial"/>
                <w:sz w:val="19"/>
              </w:rPr>
              <w:t>対話型チャット</w:t>
            </w:r>
          </w:p>
        </w:tc>
      </w:tr>
      <w:tr>
        <w:tc>
          <w:tcPr>
            <w:tcW w:type="dxa" w:w="1701"/>
            <w:shd w:val="clear" w:fill="E8F0F8" w:color="auto"/>
          </w:tcPr>
          <w:p>
            <w:r/>
            <w:r>
              <w:rPr>
                <w:rFonts w:ascii="Arial" w:hAnsi="Arial"/>
                <w:b/>
                <w:sz w:val="19"/>
              </w:rPr>
              <w:t>役割</w:t>
            </w:r>
          </w:p>
        </w:tc>
        <w:tc>
          <w:tcPr>
            <w:tcW w:type="dxa" w:w="3685"/>
            <w:shd w:val="clear" w:fill="E8F0F8" w:color="auto"/>
          </w:tcPr>
          <w:p>
            <w:r/>
            <w:r>
              <w:rPr>
                <w:rFonts w:ascii="Arial" w:hAnsi="Arial"/>
                <w:sz w:val="19"/>
              </w:rPr>
              <w:t>「どこを変えるべきか」を知る</w:t>
            </w:r>
          </w:p>
        </w:tc>
        <w:tc>
          <w:tcPr>
            <w:tcW w:type="dxa" w:w="3685"/>
            <w:shd w:val="clear" w:fill="E8F0F8" w:color="auto"/>
          </w:tcPr>
          <w:p>
            <w:r/>
            <w:r>
              <w:rPr>
                <w:rFonts w:ascii="Arial" w:hAnsi="Arial"/>
                <w:sz w:val="19"/>
              </w:rPr>
              <w:t>「どう変えるか」を一緒に考える</w:t>
            </w:r>
          </w:p>
        </w:tc>
      </w:tr>
    </w:tbl>
    <w:p/>
    <w:p>
      <w:r>
        <w:t>AIが「論理の飛躍がある」「志望動機と大学の特色が結びついていない」と指摘した時点で、受験生には「では具体的にどう直すか」という悩みが必然的に発生する。この箇所で有料チャット相談への導線が自然に生まれる設計となっている。</w:t>
      </w:r>
    </w:p>
    <w:p>
      <w:pPr>
        <w:pStyle w:val="Heading2"/>
      </w:pPr>
      <w:r>
        <w:t>5.3 広告モデル</w:t>
      </w:r>
    </w:p>
    <w:p>
      <w:r>
        <w:t>本サービスの広告媒体としての価値は、「今まさに志望理由書を書いている総合型選抜の受験生」という極めて精度の高いターゲティングが可能な点にある。大学にとっては学生募集、塾にとっては入塾促進のための有効な広告出稿先となる。</w:t>
      </w:r>
    </w:p>
    <w:p>
      <w:r>
        <w:t>また、塾側から見ると、自塾の受講生に「まずこのサービスで志望理由書の叩きを作ってから持ってきて」と案内する使い方もあり得る。この場合、塾は広告主であると同時に送客パートナーにもなり得る。</w:t>
      </w:r>
    </w:p>
    <w:p>
      <w:pPr>
        <w:pBdr>
          <w:bottom w:val="single" w:sz="4" w:space="1" w:color="B0C4DE"/>
        </w:pBdr>
      </w:pPr>
    </w:p>
    <w:p>
      <w:pPr>
        <w:pStyle w:val="Heading1"/>
      </w:pPr>
      <w:r>
        <w:t>6. マーケティング戦略</w:t>
      </w:r>
    </w:p>
    <w:p>
      <w:pPr>
        <w:pStyle w:val="Heading2"/>
      </w:pPr>
      <w:r>
        <w:t>6.1 集客チャネル</w:t>
      </w:r>
    </w:p>
    <w:p>
      <w:pPr>
        <w:pStyle w:val="Heading3"/>
      </w:pPr>
      <w:r>
        <w:t>① SEO（最優先）</w:t>
      </w:r>
    </w:p>
    <w:p>
      <w:r>
        <w:t>「志望理由書 書き方」「志望理由書 添削」「総合型選抜 志望理由書 コツ」等の検索キーワードで記事を作成し、記事内から無料添削へ誘導する。検索流入は資産として蓄積され、長期的な集客基盤となる。</w:t>
      </w:r>
    </w:p>
    <w:p>
      <w:pPr>
        <w:pStyle w:val="Heading3"/>
      </w:pPr>
      <w:r>
        <w:t>② SNS（X、TikTok）</w:t>
      </w:r>
    </w:p>
    <w:p>
      <w:r>
        <w:t>Xでは受験垢コミュニティへのリーチ、TikTokでは添削のビフォーアフター動画を配信する。「ダメな志望理由書をAIに添削させてみた」のようなコンテンツはバズりやすく、短期的な認知拡大に有効である。</w:t>
      </w:r>
    </w:p>
    <w:p>
      <w:pPr>
        <w:pStyle w:val="Heading3"/>
      </w:pPr>
      <w:r>
        <w:t>③ 口コミ・紹介</w:t>
      </w:r>
    </w:p>
    <w:p>
      <w:r>
        <w:t>無料サービスは口コミが最大の武器となる。添削後に「友達にもシェアする」ボタン（特にLINEシェア）を設置し、受験生同士の自然な拡散を促す。</w:t>
      </w:r>
    </w:p>
    <w:p>
      <w:pPr>
        <w:pStyle w:val="Heading2"/>
      </w:pPr>
      <w:r>
        <w:t>6.2 コンテンツ戦略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fill="1B3A5C" w:color="auto"/>
          </w:tcPr>
          <w:p>
            <w:pPr>
              <w:jc w:val="center"/>
            </w:pPr>
            <w:r/>
            <w:r>
              <w:rPr>
                <w:rFonts w:ascii="Arial" w:hAnsi="Arial"/>
                <w:b/>
                <w:color w:val="FFFFFF"/>
                <w:sz w:val="19"/>
              </w:rPr>
              <w:t>フェーズ</w:t>
            </w:r>
          </w:p>
        </w:tc>
        <w:tc>
          <w:tcPr>
            <w:tcW w:type="dxa" w:w="1701"/>
            <w:shd w:val="clear" w:fill="1B3A5C" w:color="auto"/>
          </w:tcPr>
          <w:p>
            <w:pPr>
              <w:jc w:val="center"/>
            </w:pPr>
            <w:r/>
            <w:r>
              <w:rPr>
                <w:rFonts w:ascii="Arial" w:hAnsi="Arial"/>
                <w:b/>
                <w:color w:val="FFFFFF"/>
                <w:sz w:val="19"/>
              </w:rPr>
              <w:t>記事数</w:t>
            </w:r>
          </w:p>
        </w:tc>
        <w:tc>
          <w:tcPr>
            <w:tcW w:type="dxa" w:w="2835"/>
            <w:shd w:val="clear" w:fill="1B3A5C" w:color="auto"/>
          </w:tcPr>
          <w:p>
            <w:pPr>
              <w:jc w:val="center"/>
            </w:pPr>
            <w:r/>
            <w:r>
              <w:rPr>
                <w:rFonts w:ascii="Arial" w:hAnsi="Arial"/>
                <w:b/>
                <w:color w:val="FFFFFF"/>
                <w:sz w:val="19"/>
              </w:rPr>
              <w:t>内容</w:t>
            </w:r>
          </w:p>
        </w:tc>
        <w:tc>
          <w:tcPr>
            <w:tcW w:type="dxa" w:w="2835"/>
            <w:shd w:val="clear" w:fill="1B3A5C" w:color="auto"/>
          </w:tcPr>
          <w:p>
            <w:pPr>
              <w:jc w:val="center"/>
            </w:pPr>
            <w:r/>
            <w:r>
              <w:rPr>
                <w:rFonts w:ascii="Arial" w:hAnsi="Arial"/>
                <w:b/>
                <w:color w:val="FFFFFF"/>
                <w:sz w:val="19"/>
              </w:rPr>
              <w:t>目的</w:t>
            </w:r>
          </w:p>
        </w:tc>
      </w:tr>
      <w:tr>
        <w:tc>
          <w:tcPr>
            <w:tcW w:type="dxa" w:w="1701"/>
            <w:shd w:val="clear" w:fill="E8F0F8" w:color="auto"/>
          </w:tcPr>
          <w:p>
            <w:r/>
            <w:r>
              <w:rPr>
                <w:rFonts w:ascii="Arial" w:hAnsi="Arial"/>
                <w:sz w:val="19"/>
              </w:rPr>
              <w:t>Phase 1</w:t>
            </w:r>
          </w:p>
        </w:tc>
        <w:tc>
          <w:tcPr>
            <w:tcW w:type="dxa" w:w="1701"/>
            <w:shd w:val="clear" w:fill="E8F0F8" w:color="auto"/>
          </w:tcPr>
          <w:p>
            <w:r/>
            <w:r>
              <w:rPr>
                <w:rFonts w:ascii="Arial" w:hAnsi="Arial"/>
                <w:sz w:val="19"/>
              </w:rPr>
              <w:t>5〜10本</w:t>
            </w:r>
          </w:p>
        </w:tc>
        <w:tc>
          <w:tcPr>
            <w:tcW w:type="dxa" w:w="2835"/>
            <w:shd w:val="clear" w:fill="E8F0F8" w:color="auto"/>
          </w:tcPr>
          <w:p>
            <w:r/>
            <w:r>
              <w:rPr>
                <w:rFonts w:ascii="Arial" w:hAnsi="Arial"/>
                <w:sz w:val="19"/>
              </w:rPr>
              <w:t>主要キーワード（書き方、構成等）</w:t>
            </w:r>
          </w:p>
        </w:tc>
        <w:tc>
          <w:tcPr>
            <w:tcW w:type="dxa" w:w="2835"/>
            <w:shd w:val="clear" w:fill="E8F0F8" w:color="auto"/>
          </w:tcPr>
          <w:p>
            <w:r/>
            <w:r>
              <w:rPr>
                <w:rFonts w:ascii="Arial" w:hAnsi="Arial"/>
                <w:sz w:val="19"/>
              </w:rPr>
              <w:t>SEOの土台づくり</w:t>
            </w:r>
          </w:p>
        </w:tc>
      </w:tr>
      <w:tr>
        <w:tc>
          <w:tcPr>
            <w:tcW w:type="dxa" w:w="1701"/>
          </w:tcPr>
          <w:p>
            <w:r/>
            <w:r>
              <w:rPr>
                <w:rFonts w:ascii="Arial" w:hAnsi="Arial"/>
                <w:sz w:val="19"/>
              </w:rPr>
              <w:t>Phase 2</w:t>
            </w:r>
          </w:p>
        </w:tc>
        <w:tc>
          <w:tcPr>
            <w:tcW w:type="dxa" w:w="1701"/>
          </w:tcPr>
          <w:p>
            <w:r/>
            <w:r>
              <w:rPr>
                <w:rFonts w:ascii="Arial" w:hAnsi="Arial"/>
                <w:sz w:val="19"/>
              </w:rPr>
              <w:t>30〜50本</w:t>
            </w:r>
          </w:p>
        </w:tc>
        <w:tc>
          <w:tcPr>
            <w:tcW w:type="dxa" w:w="2835"/>
          </w:tcPr>
          <w:p>
            <w:r/>
            <w:r>
              <w:rPr>
                <w:rFonts w:ascii="Arial" w:hAnsi="Arial"/>
                <w:sz w:val="19"/>
              </w:rPr>
              <w:t>大学別対策記事</w:t>
            </w:r>
          </w:p>
        </w:tc>
        <w:tc>
          <w:tcPr>
            <w:tcW w:type="dxa" w:w="2835"/>
          </w:tcPr>
          <w:p>
            <w:r/>
            <w:r>
              <w:rPr>
                <w:rFonts w:ascii="Arial" w:hAnsi="Arial"/>
                <w:sz w:val="19"/>
              </w:rPr>
              <w:t>ロングテールCVR向上</w:t>
            </w:r>
          </w:p>
        </w:tc>
      </w:tr>
      <w:tr>
        <w:tc>
          <w:tcPr>
            <w:tcW w:type="dxa" w:w="1701"/>
            <w:shd w:val="clear" w:fill="E8F0F8" w:color="auto"/>
          </w:tcPr>
          <w:p>
            <w:r/>
            <w:r>
              <w:rPr>
                <w:rFonts w:ascii="Arial" w:hAnsi="Arial"/>
                <w:sz w:val="19"/>
              </w:rPr>
              <w:t>Phase 3</w:t>
            </w:r>
          </w:p>
        </w:tc>
        <w:tc>
          <w:tcPr>
            <w:tcW w:type="dxa" w:w="1701"/>
            <w:shd w:val="clear" w:fill="E8F0F8" w:color="auto"/>
          </w:tcPr>
          <w:p>
            <w:r/>
            <w:r>
              <w:rPr>
                <w:rFonts w:ascii="Arial" w:hAnsi="Arial"/>
                <w:sz w:val="19"/>
              </w:rPr>
              <w:t>100本以上</w:t>
            </w:r>
          </w:p>
        </w:tc>
        <w:tc>
          <w:tcPr>
            <w:tcW w:type="dxa" w:w="2835"/>
            <w:shd w:val="clear" w:fill="E8F0F8" w:color="auto"/>
          </w:tcPr>
          <w:p>
            <w:r/>
            <w:r>
              <w:rPr>
                <w:rFonts w:ascii="Arial" w:hAnsi="Arial"/>
                <w:sz w:val="19"/>
              </w:rPr>
              <w:t>学部別・テーマ別記事</w:t>
            </w:r>
          </w:p>
        </w:tc>
        <w:tc>
          <w:tcPr>
            <w:tcW w:type="dxa" w:w="2835"/>
            <w:shd w:val="clear" w:fill="E8F0F8" w:color="auto"/>
          </w:tcPr>
          <w:p>
            <w:r/>
            <w:r>
              <w:rPr>
                <w:rFonts w:ascii="Arial" w:hAnsi="Arial"/>
                <w:sz w:val="19"/>
              </w:rPr>
              <w:t>情報メディア化</w:t>
            </w:r>
          </w:p>
        </w:tc>
      </w:tr>
    </w:tbl>
    <w:p/>
    <w:p>
      <w:pPr>
        <w:pStyle w:val="Heading2"/>
      </w:pPr>
      <w:r>
        <w:t>6.3 時期戦略</w:t>
      </w:r>
    </w:p>
    <w:p>
      <w:r>
        <w:t>総合型選抜の出願は9〜10月に集中するため、志望理由書の執筆ピークは6〜8月となる。SEO記事やSNSの仕込みは4〜5月には開始する必要がある。ただし、学校推薦型選抜は11月以降の出願が多く、通年での需要が見込める。</w:t>
      </w:r>
    </w:p>
    <w:p>
      <w:pPr>
        <w:pBdr>
          <w:bottom w:val="single" w:sz="4" w:space="1" w:color="B0C4DE"/>
        </w:pBdr>
      </w:pPr>
    </w:p>
    <w:p>
      <w:pPr>
        <w:pStyle w:val="Heading1"/>
      </w:pPr>
      <w:r>
        <w:t>7. ロードマップ</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fill="1B3A5C" w:color="auto"/>
          </w:tcPr>
          <w:p>
            <w:pPr>
              <w:jc w:val="center"/>
            </w:pPr>
            <w:r/>
            <w:r>
              <w:rPr>
                <w:rFonts w:ascii="Arial" w:hAnsi="Arial"/>
                <w:b/>
                <w:color w:val="FFFFFF"/>
                <w:sz w:val="19"/>
              </w:rPr>
              <w:t>フェーズ</w:t>
            </w:r>
          </w:p>
        </w:tc>
        <w:tc>
          <w:tcPr>
            <w:tcW w:type="dxa" w:w="1417"/>
            <w:shd w:val="clear" w:fill="1B3A5C" w:color="auto"/>
          </w:tcPr>
          <w:p>
            <w:pPr>
              <w:jc w:val="center"/>
            </w:pPr>
            <w:r/>
            <w:r>
              <w:rPr>
                <w:rFonts w:ascii="Arial" w:hAnsi="Arial"/>
                <w:b/>
                <w:color w:val="FFFFFF"/>
                <w:sz w:val="19"/>
              </w:rPr>
              <w:t>時期</w:t>
            </w:r>
          </w:p>
        </w:tc>
        <w:tc>
          <w:tcPr>
            <w:tcW w:type="dxa" w:w="3118"/>
            <w:shd w:val="clear" w:fill="1B3A5C" w:color="auto"/>
          </w:tcPr>
          <w:p>
            <w:pPr>
              <w:jc w:val="center"/>
            </w:pPr>
            <w:r/>
            <w:r>
              <w:rPr>
                <w:rFonts w:ascii="Arial" w:hAnsi="Arial"/>
                <w:b/>
                <w:color w:val="FFFFFF"/>
                <w:sz w:val="19"/>
              </w:rPr>
              <w:t>主要施策</w:t>
            </w:r>
          </w:p>
        </w:tc>
        <w:tc>
          <w:tcPr>
            <w:tcW w:type="dxa" w:w="2835"/>
            <w:shd w:val="clear" w:fill="1B3A5C" w:color="auto"/>
          </w:tcPr>
          <w:p>
            <w:pPr>
              <w:jc w:val="center"/>
            </w:pPr>
            <w:r/>
            <w:r>
              <w:rPr>
                <w:rFonts w:ascii="Arial" w:hAnsi="Arial"/>
                <w:b/>
                <w:color w:val="FFFFFF"/>
                <w:sz w:val="19"/>
              </w:rPr>
              <w:t>KPI</w:t>
            </w:r>
          </w:p>
        </w:tc>
      </w:tr>
      <w:tr>
        <w:tc>
          <w:tcPr>
            <w:tcW w:type="dxa" w:w="1701"/>
            <w:shd w:val="clear" w:fill="E8F0F8" w:color="auto"/>
          </w:tcPr>
          <w:p>
            <w:r/>
            <w:r>
              <w:rPr>
                <w:rFonts w:ascii="Arial" w:hAnsi="Arial"/>
                <w:b/>
                <w:sz w:val="19"/>
              </w:rPr>
              <w:t>Phase 1</w:t>
              <w:br/>
              <w:t>基盤構築</w:t>
            </w:r>
          </w:p>
        </w:tc>
        <w:tc>
          <w:tcPr>
            <w:tcW w:type="dxa" w:w="1417"/>
            <w:shd w:val="clear" w:fill="E8F0F8" w:color="auto"/>
          </w:tcPr>
          <w:p>
            <w:r/>
            <w:r>
              <w:rPr>
                <w:rFonts w:ascii="Arial" w:hAnsi="Arial"/>
                <w:sz w:val="19"/>
              </w:rPr>
              <w:t>2026年</w:t>
              <w:br/>
              <w:t>4〜6月</w:t>
            </w:r>
          </w:p>
        </w:tc>
        <w:tc>
          <w:tcPr>
            <w:tcW w:type="dxa" w:w="3118"/>
            <w:shd w:val="clear" w:fill="E8F0F8" w:color="auto"/>
          </w:tcPr>
          <w:p>
            <w:r/>
            <w:r>
              <w:rPr>
                <w:rFonts w:ascii="Arial" w:hAnsi="Arial"/>
                <w:sz w:val="19"/>
              </w:rPr>
              <w:t>AI添削機能の開発・SEO記事作成開始・SNSアカウント開設</w:t>
            </w:r>
          </w:p>
        </w:tc>
        <w:tc>
          <w:tcPr>
            <w:tcW w:type="dxa" w:w="2835"/>
            <w:shd w:val="clear" w:fill="E8F0F8" w:color="auto"/>
          </w:tcPr>
          <w:p>
            <w:r/>
            <w:r>
              <w:rPr>
                <w:rFonts w:ascii="Arial" w:hAnsi="Arial"/>
                <w:sz w:val="19"/>
              </w:rPr>
              <w:t>プロダクト完成・記事5本以上公開</w:t>
            </w:r>
          </w:p>
        </w:tc>
      </w:tr>
      <w:tr>
        <w:tc>
          <w:tcPr>
            <w:tcW w:type="dxa" w:w="1701"/>
          </w:tcPr>
          <w:p>
            <w:r/>
            <w:r>
              <w:rPr>
                <w:rFonts w:ascii="Arial" w:hAnsi="Arial"/>
                <w:b/>
                <w:sz w:val="19"/>
              </w:rPr>
              <w:t>Phase 2</w:t>
              <w:br/>
              <w:t>ユーザー獲得</w:t>
            </w:r>
          </w:p>
        </w:tc>
        <w:tc>
          <w:tcPr>
            <w:tcW w:type="dxa" w:w="1417"/>
          </w:tcPr>
          <w:p>
            <w:r/>
            <w:r>
              <w:rPr>
                <w:rFonts w:ascii="Arial" w:hAnsi="Arial"/>
                <w:sz w:val="19"/>
              </w:rPr>
              <w:t>2026年</w:t>
              <w:br/>
              <w:t>7〜10月</w:t>
            </w:r>
          </w:p>
        </w:tc>
        <w:tc>
          <w:tcPr>
            <w:tcW w:type="dxa" w:w="3118"/>
          </w:tcPr>
          <w:p>
            <w:r/>
            <w:r>
              <w:rPr>
                <w:rFonts w:ascii="Arial" w:hAnsi="Arial"/>
                <w:sz w:val="19"/>
              </w:rPr>
              <w:t>無料添削サービス公開・有料チャット相談開始・口コミ施策実装</w:t>
            </w:r>
          </w:p>
        </w:tc>
        <w:tc>
          <w:tcPr>
            <w:tcW w:type="dxa" w:w="2835"/>
          </w:tcPr>
          <w:p>
            <w:r/>
            <w:r>
              <w:rPr>
                <w:rFonts w:ascii="Arial" w:hAnsi="Arial"/>
                <w:sz w:val="19"/>
              </w:rPr>
              <w:t>月間ユーザー1,000人・有料転換率測定</w:t>
            </w:r>
          </w:p>
        </w:tc>
      </w:tr>
      <w:tr>
        <w:tc>
          <w:tcPr>
            <w:tcW w:type="dxa" w:w="1701"/>
            <w:shd w:val="clear" w:fill="E8F0F8" w:color="auto"/>
          </w:tcPr>
          <w:p>
            <w:r/>
            <w:r>
              <w:rPr>
                <w:rFonts w:ascii="Arial" w:hAnsi="Arial"/>
                <w:b/>
                <w:sz w:val="19"/>
              </w:rPr>
              <w:t>Phase 3</w:t>
              <w:br/>
              <w:t>収益化</w:t>
            </w:r>
          </w:p>
        </w:tc>
        <w:tc>
          <w:tcPr>
            <w:tcW w:type="dxa" w:w="1417"/>
            <w:shd w:val="clear" w:fill="E8F0F8" w:color="auto"/>
          </w:tcPr>
          <w:p>
            <w:r/>
            <w:r>
              <w:rPr>
                <w:rFonts w:ascii="Arial" w:hAnsi="Arial"/>
                <w:sz w:val="19"/>
              </w:rPr>
              <w:t>2026年</w:t>
              <w:br/>
              <w:t>11月〜</w:t>
            </w:r>
          </w:p>
        </w:tc>
        <w:tc>
          <w:tcPr>
            <w:tcW w:type="dxa" w:w="3118"/>
            <w:shd w:val="clear" w:fill="E8F0F8" w:color="auto"/>
          </w:tcPr>
          <w:p>
            <w:r/>
            <w:r>
              <w:rPr>
                <w:rFonts w:ascii="Arial" w:hAnsi="Arial"/>
                <w:sz w:val="19"/>
              </w:rPr>
              <w:t>広告営業開始・大学別記事拡充・面接対策機能追加</w:t>
            </w:r>
          </w:p>
        </w:tc>
        <w:tc>
          <w:tcPr>
            <w:tcW w:type="dxa" w:w="2835"/>
            <w:shd w:val="clear" w:fill="E8F0F8" w:color="auto"/>
          </w:tcPr>
          <w:p>
            <w:r/>
            <w:r>
              <w:rPr>
                <w:rFonts w:ascii="Arial" w:hAnsi="Arial"/>
                <w:sz w:val="19"/>
              </w:rPr>
              <w:t>月間ユーザー5,000人・広告収入開始</w:t>
            </w:r>
          </w:p>
        </w:tc>
      </w:tr>
      <w:tr>
        <w:tc>
          <w:tcPr>
            <w:tcW w:type="dxa" w:w="1701"/>
          </w:tcPr>
          <w:p>
            <w:r/>
            <w:r>
              <w:rPr>
                <w:rFonts w:ascii="Arial" w:hAnsi="Arial"/>
                <w:b/>
                <w:sz w:val="19"/>
              </w:rPr>
              <w:t>Phase 4</w:t>
              <w:br/>
              <w:t>拡大</w:t>
            </w:r>
          </w:p>
        </w:tc>
        <w:tc>
          <w:tcPr>
            <w:tcW w:type="dxa" w:w="1417"/>
          </w:tcPr>
          <w:p>
            <w:r/>
            <w:r>
              <w:rPr>
                <w:rFonts w:ascii="Arial" w:hAnsi="Arial"/>
                <w:sz w:val="19"/>
              </w:rPr>
              <w:t>2027年〜</w:t>
            </w:r>
          </w:p>
        </w:tc>
        <w:tc>
          <w:tcPr>
            <w:tcW w:type="dxa" w:w="3118"/>
          </w:tcPr>
          <w:p>
            <w:r/>
            <w:r>
              <w:rPr>
                <w:rFonts w:ascii="Arial" w:hAnsi="Arial"/>
                <w:sz w:val="19"/>
              </w:rPr>
              <w:t>学校推薦型選抜への対応拡大・B2B展開の検討</w:t>
            </w:r>
          </w:p>
        </w:tc>
        <w:tc>
          <w:tcPr>
            <w:tcW w:type="dxa" w:w="2835"/>
          </w:tcPr>
          <w:p>
            <w:r/>
            <w:r>
              <w:rPr>
                <w:rFonts w:ascii="Arial" w:hAnsi="Arial"/>
                <w:sz w:val="19"/>
              </w:rPr>
              <w:t>月間ユーザー1万人・単月黒字化</w:t>
            </w:r>
          </w:p>
        </w:tc>
      </w:tr>
    </w:tbl>
    <w:p/>
    <w:p>
      <w:pPr>
        <w:pBdr>
          <w:bottom w:val="single" w:sz="4" w:space="1" w:color="B0C4DE"/>
        </w:pBdr>
      </w:pPr>
    </w:p>
    <w:p>
      <w:pPr>
        <w:pStyle w:val="Heading1"/>
      </w:pPr>
      <w:r>
        <w:t>8. 収支計画（概算）</w:t>
      </w:r>
    </w:p>
    <w:p>
      <w:r>
        <w:t>以下は保守的な前提に基づく概算である。</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fill="1B3A5C" w:color="auto"/>
          </w:tcPr>
          <w:p>
            <w:pPr>
              <w:jc w:val="center"/>
            </w:pPr>
            <w:r/>
            <w:r>
              <w:rPr>
                <w:rFonts w:ascii="Arial" w:hAnsi="Arial"/>
                <w:b/>
                <w:color w:val="FFFFFF"/>
                <w:sz w:val="19"/>
              </w:rPr>
              <w:t>項目</w:t>
            </w:r>
          </w:p>
        </w:tc>
        <w:tc>
          <w:tcPr>
            <w:tcW w:type="dxa" w:w="1417"/>
            <w:shd w:val="clear" w:fill="1B3A5C" w:color="auto"/>
          </w:tcPr>
          <w:p>
            <w:pPr>
              <w:jc w:val="center"/>
            </w:pPr>
            <w:r/>
            <w:r>
              <w:rPr>
                <w:rFonts w:ascii="Arial" w:hAnsi="Arial"/>
                <w:b/>
                <w:color w:val="FFFFFF"/>
                <w:sz w:val="19"/>
              </w:rPr>
              <w:t>Phase 1</w:t>
            </w:r>
          </w:p>
        </w:tc>
        <w:tc>
          <w:tcPr>
            <w:tcW w:type="dxa" w:w="1417"/>
            <w:shd w:val="clear" w:fill="1B3A5C" w:color="auto"/>
          </w:tcPr>
          <w:p>
            <w:pPr>
              <w:jc w:val="center"/>
            </w:pPr>
            <w:r/>
            <w:r>
              <w:rPr>
                <w:rFonts w:ascii="Arial" w:hAnsi="Arial"/>
                <w:b/>
                <w:color w:val="FFFFFF"/>
                <w:sz w:val="19"/>
              </w:rPr>
              <w:t>Phase 2</w:t>
            </w:r>
          </w:p>
        </w:tc>
        <w:tc>
          <w:tcPr>
            <w:tcW w:type="dxa" w:w="1417"/>
            <w:shd w:val="clear" w:fill="1B3A5C" w:color="auto"/>
          </w:tcPr>
          <w:p>
            <w:pPr>
              <w:jc w:val="center"/>
            </w:pPr>
            <w:r/>
            <w:r>
              <w:rPr>
                <w:rFonts w:ascii="Arial" w:hAnsi="Arial"/>
                <w:b/>
                <w:color w:val="FFFFFF"/>
                <w:sz w:val="19"/>
              </w:rPr>
              <w:t>Phase 3</w:t>
            </w:r>
          </w:p>
        </w:tc>
        <w:tc>
          <w:tcPr>
            <w:tcW w:type="dxa" w:w="1417"/>
            <w:shd w:val="clear" w:fill="1B3A5C" w:color="auto"/>
          </w:tcPr>
          <w:p>
            <w:pPr>
              <w:jc w:val="center"/>
            </w:pPr>
            <w:r/>
            <w:r>
              <w:rPr>
                <w:rFonts w:ascii="Arial" w:hAnsi="Arial"/>
                <w:b/>
                <w:color w:val="FFFFFF"/>
                <w:sz w:val="19"/>
              </w:rPr>
              <w:t>Phase 4</w:t>
            </w:r>
          </w:p>
        </w:tc>
      </w:tr>
      <w:tr>
        <w:tc>
          <w:tcPr>
            <w:tcW w:type="dxa" w:w="2268"/>
            <w:shd w:val="clear" w:fill="E8F0F8" w:color="auto"/>
          </w:tcPr>
          <w:p>
            <w:r/>
            <w:r>
              <w:rPr>
                <w:rFonts w:ascii="Arial" w:hAnsi="Arial"/>
                <w:sz w:val="19"/>
              </w:rPr>
              <w:t>月間ユーザー数</w:t>
            </w:r>
          </w:p>
        </w:tc>
        <w:tc>
          <w:tcPr>
            <w:tcW w:type="dxa" w:w="1417"/>
            <w:shd w:val="clear" w:fill="E8F0F8" w:color="auto"/>
          </w:tcPr>
          <w:p>
            <w:pPr>
              <w:jc w:val="right"/>
            </w:pPr>
            <w:r/>
            <w:r>
              <w:rPr>
                <w:rFonts w:ascii="Arial" w:hAnsi="Arial"/>
                <w:sz w:val="19"/>
              </w:rPr>
              <w:t>—</w:t>
            </w:r>
          </w:p>
        </w:tc>
        <w:tc>
          <w:tcPr>
            <w:tcW w:type="dxa" w:w="1417"/>
            <w:shd w:val="clear" w:fill="E8F0F8" w:color="auto"/>
          </w:tcPr>
          <w:p>
            <w:pPr>
              <w:jc w:val="right"/>
            </w:pPr>
            <w:r/>
            <w:r>
              <w:rPr>
                <w:rFonts w:ascii="Arial" w:hAnsi="Arial"/>
                <w:sz w:val="19"/>
              </w:rPr>
              <w:t>1,000人</w:t>
            </w:r>
          </w:p>
        </w:tc>
        <w:tc>
          <w:tcPr>
            <w:tcW w:type="dxa" w:w="1417"/>
            <w:shd w:val="clear" w:fill="E8F0F8" w:color="auto"/>
          </w:tcPr>
          <w:p>
            <w:pPr>
              <w:jc w:val="right"/>
            </w:pPr>
            <w:r/>
            <w:r>
              <w:rPr>
                <w:rFonts w:ascii="Arial" w:hAnsi="Arial"/>
                <w:sz w:val="19"/>
              </w:rPr>
              <w:t>5,000人</w:t>
            </w:r>
          </w:p>
        </w:tc>
        <w:tc>
          <w:tcPr>
            <w:tcW w:type="dxa" w:w="1417"/>
            <w:shd w:val="clear" w:fill="E8F0F8" w:color="auto"/>
          </w:tcPr>
          <w:p>
            <w:pPr>
              <w:jc w:val="right"/>
            </w:pPr>
            <w:r/>
            <w:r>
              <w:rPr>
                <w:rFonts w:ascii="Arial" w:hAnsi="Arial"/>
                <w:sz w:val="19"/>
              </w:rPr>
              <w:t>10,000人</w:t>
            </w:r>
          </w:p>
        </w:tc>
      </w:tr>
      <w:tr>
        <w:tc>
          <w:tcPr>
            <w:tcW w:type="dxa" w:w="2268"/>
          </w:tcPr>
          <w:p>
            <w:r/>
            <w:r>
              <w:rPr>
                <w:rFonts w:ascii="Arial" w:hAnsi="Arial"/>
                <w:sz w:val="19"/>
              </w:rPr>
              <w:t>有料転換率</w:t>
            </w:r>
          </w:p>
        </w:tc>
        <w:tc>
          <w:tcPr>
            <w:tcW w:type="dxa" w:w="1417"/>
          </w:tcPr>
          <w:p>
            <w:pPr>
              <w:jc w:val="right"/>
            </w:pPr>
            <w:r/>
            <w:r>
              <w:rPr>
                <w:rFonts w:ascii="Arial" w:hAnsi="Arial"/>
                <w:sz w:val="19"/>
              </w:rPr>
              <w:t>—</w:t>
            </w:r>
          </w:p>
        </w:tc>
        <w:tc>
          <w:tcPr>
            <w:tcW w:type="dxa" w:w="1417"/>
          </w:tcPr>
          <w:p>
            <w:pPr>
              <w:jc w:val="right"/>
            </w:pPr>
            <w:r/>
            <w:r>
              <w:rPr>
                <w:rFonts w:ascii="Arial" w:hAnsi="Arial"/>
                <w:sz w:val="19"/>
              </w:rPr>
              <w:t>3%</w:t>
            </w:r>
          </w:p>
        </w:tc>
        <w:tc>
          <w:tcPr>
            <w:tcW w:type="dxa" w:w="1417"/>
          </w:tcPr>
          <w:p>
            <w:pPr>
              <w:jc w:val="right"/>
            </w:pPr>
            <w:r/>
            <w:r>
              <w:rPr>
                <w:rFonts w:ascii="Arial" w:hAnsi="Arial"/>
                <w:sz w:val="19"/>
              </w:rPr>
              <w:t>5%</w:t>
            </w:r>
          </w:p>
        </w:tc>
        <w:tc>
          <w:tcPr>
            <w:tcW w:type="dxa" w:w="1417"/>
          </w:tcPr>
          <w:p>
            <w:pPr>
              <w:jc w:val="right"/>
            </w:pPr>
            <w:r/>
            <w:r>
              <w:rPr>
                <w:rFonts w:ascii="Arial" w:hAnsi="Arial"/>
                <w:sz w:val="19"/>
              </w:rPr>
              <w:t>5%</w:t>
            </w:r>
          </w:p>
        </w:tc>
      </w:tr>
      <w:tr>
        <w:tc>
          <w:tcPr>
            <w:tcW w:type="dxa" w:w="2268"/>
            <w:shd w:val="clear" w:fill="E8F0F8" w:color="auto"/>
          </w:tcPr>
          <w:p>
            <w:r/>
            <w:r>
              <w:rPr>
                <w:rFonts w:ascii="Arial" w:hAnsi="Arial"/>
                <w:sz w:val="19"/>
              </w:rPr>
              <w:t>有料会員数</w:t>
            </w:r>
          </w:p>
        </w:tc>
        <w:tc>
          <w:tcPr>
            <w:tcW w:type="dxa" w:w="1417"/>
            <w:shd w:val="clear" w:fill="E8F0F8" w:color="auto"/>
          </w:tcPr>
          <w:p>
            <w:pPr>
              <w:jc w:val="right"/>
            </w:pPr>
            <w:r/>
            <w:r>
              <w:rPr>
                <w:rFonts w:ascii="Arial" w:hAnsi="Arial"/>
                <w:sz w:val="19"/>
              </w:rPr>
              <w:t>—</w:t>
            </w:r>
          </w:p>
        </w:tc>
        <w:tc>
          <w:tcPr>
            <w:tcW w:type="dxa" w:w="1417"/>
            <w:shd w:val="clear" w:fill="E8F0F8" w:color="auto"/>
          </w:tcPr>
          <w:p>
            <w:pPr>
              <w:jc w:val="right"/>
            </w:pPr>
            <w:r/>
            <w:r>
              <w:rPr>
                <w:rFonts w:ascii="Arial" w:hAnsi="Arial"/>
                <w:sz w:val="19"/>
              </w:rPr>
              <w:t>30人</w:t>
            </w:r>
          </w:p>
        </w:tc>
        <w:tc>
          <w:tcPr>
            <w:tcW w:type="dxa" w:w="1417"/>
            <w:shd w:val="clear" w:fill="E8F0F8" w:color="auto"/>
          </w:tcPr>
          <w:p>
            <w:pPr>
              <w:jc w:val="right"/>
            </w:pPr>
            <w:r/>
            <w:r>
              <w:rPr>
                <w:rFonts w:ascii="Arial" w:hAnsi="Arial"/>
                <w:sz w:val="19"/>
              </w:rPr>
              <w:t>250人</w:t>
            </w:r>
          </w:p>
        </w:tc>
        <w:tc>
          <w:tcPr>
            <w:tcW w:type="dxa" w:w="1417"/>
            <w:shd w:val="clear" w:fill="E8F0F8" w:color="auto"/>
          </w:tcPr>
          <w:p>
            <w:pPr>
              <w:jc w:val="right"/>
            </w:pPr>
            <w:r/>
            <w:r>
              <w:rPr>
                <w:rFonts w:ascii="Arial" w:hAnsi="Arial"/>
                <w:sz w:val="19"/>
              </w:rPr>
              <w:t>500人</w:t>
            </w:r>
          </w:p>
        </w:tc>
      </w:tr>
      <w:tr>
        <w:tc>
          <w:tcPr>
            <w:tcW w:type="dxa" w:w="2268"/>
          </w:tcPr>
          <w:p>
            <w:r/>
            <w:r>
              <w:rPr>
                <w:rFonts w:ascii="Arial" w:hAnsi="Arial"/>
                <w:sz w:val="19"/>
              </w:rPr>
              <w:t>チャット相談売上（月）</w:t>
            </w:r>
          </w:p>
        </w:tc>
        <w:tc>
          <w:tcPr>
            <w:tcW w:type="dxa" w:w="1417"/>
          </w:tcPr>
          <w:p>
            <w:pPr>
              <w:jc w:val="right"/>
            </w:pPr>
            <w:r/>
            <w:r>
              <w:rPr>
                <w:rFonts w:ascii="Arial" w:hAnsi="Arial"/>
                <w:sz w:val="19"/>
              </w:rPr>
              <w:t>—</w:t>
            </w:r>
          </w:p>
        </w:tc>
        <w:tc>
          <w:tcPr>
            <w:tcW w:type="dxa" w:w="1417"/>
          </w:tcPr>
          <w:p>
            <w:pPr>
              <w:jc w:val="right"/>
            </w:pPr>
            <w:r/>
            <w:r>
              <w:rPr>
                <w:rFonts w:ascii="Arial" w:hAnsi="Arial"/>
                <w:sz w:val="19"/>
              </w:rPr>
              <w:t>12万円</w:t>
            </w:r>
          </w:p>
        </w:tc>
        <w:tc>
          <w:tcPr>
            <w:tcW w:type="dxa" w:w="1417"/>
          </w:tcPr>
          <w:p>
            <w:pPr>
              <w:jc w:val="right"/>
            </w:pPr>
            <w:r/>
            <w:r>
              <w:rPr>
                <w:rFonts w:ascii="Arial" w:hAnsi="Arial"/>
                <w:sz w:val="19"/>
              </w:rPr>
              <w:t>100万円</w:t>
            </w:r>
          </w:p>
        </w:tc>
        <w:tc>
          <w:tcPr>
            <w:tcW w:type="dxa" w:w="1417"/>
          </w:tcPr>
          <w:p>
            <w:pPr>
              <w:jc w:val="right"/>
            </w:pPr>
            <w:r/>
            <w:r>
              <w:rPr>
                <w:rFonts w:ascii="Arial" w:hAnsi="Arial"/>
                <w:sz w:val="19"/>
              </w:rPr>
              <w:t>200万円</w:t>
            </w:r>
          </w:p>
        </w:tc>
      </w:tr>
      <w:tr>
        <w:tc>
          <w:tcPr>
            <w:tcW w:type="dxa" w:w="2268"/>
            <w:shd w:val="clear" w:fill="E8F0F8" w:color="auto"/>
          </w:tcPr>
          <w:p>
            <w:r/>
            <w:r>
              <w:rPr>
                <w:rFonts w:ascii="Arial" w:hAnsi="Arial"/>
                <w:sz w:val="19"/>
              </w:rPr>
              <w:t>広告売上（月）</w:t>
            </w:r>
          </w:p>
        </w:tc>
        <w:tc>
          <w:tcPr>
            <w:tcW w:type="dxa" w:w="1417"/>
            <w:shd w:val="clear" w:fill="E8F0F8" w:color="auto"/>
          </w:tcPr>
          <w:p>
            <w:pPr>
              <w:jc w:val="right"/>
            </w:pPr>
            <w:r/>
            <w:r>
              <w:rPr>
                <w:rFonts w:ascii="Arial" w:hAnsi="Arial"/>
                <w:sz w:val="19"/>
              </w:rPr>
              <w:t>—</w:t>
            </w:r>
          </w:p>
        </w:tc>
        <w:tc>
          <w:tcPr>
            <w:tcW w:type="dxa" w:w="1417"/>
            <w:shd w:val="clear" w:fill="E8F0F8" w:color="auto"/>
          </w:tcPr>
          <w:p>
            <w:pPr>
              <w:jc w:val="right"/>
            </w:pPr>
            <w:r/>
            <w:r>
              <w:rPr>
                <w:rFonts w:ascii="Arial" w:hAnsi="Arial"/>
                <w:sz w:val="19"/>
              </w:rPr>
              <w:t>—</w:t>
            </w:r>
          </w:p>
        </w:tc>
        <w:tc>
          <w:tcPr>
            <w:tcW w:type="dxa" w:w="1417"/>
            <w:shd w:val="clear" w:fill="E8F0F8" w:color="auto"/>
          </w:tcPr>
          <w:p>
            <w:pPr>
              <w:jc w:val="right"/>
            </w:pPr>
            <w:r/>
            <w:r>
              <w:rPr>
                <w:rFonts w:ascii="Arial" w:hAnsi="Arial"/>
                <w:sz w:val="19"/>
              </w:rPr>
              <w:t>30万円</w:t>
            </w:r>
          </w:p>
        </w:tc>
        <w:tc>
          <w:tcPr>
            <w:tcW w:type="dxa" w:w="1417"/>
            <w:shd w:val="clear" w:fill="E8F0F8" w:color="auto"/>
          </w:tcPr>
          <w:p>
            <w:pPr>
              <w:jc w:val="right"/>
            </w:pPr>
            <w:r/>
            <w:r>
              <w:rPr>
                <w:rFonts w:ascii="Arial" w:hAnsi="Arial"/>
                <w:sz w:val="19"/>
              </w:rPr>
              <w:t>100万円</w:t>
            </w:r>
          </w:p>
        </w:tc>
      </w:tr>
      <w:tr>
        <w:tc>
          <w:tcPr>
            <w:tcW w:type="dxa" w:w="2268"/>
          </w:tcPr>
          <w:p>
            <w:r/>
            <w:r>
              <w:rPr>
                <w:rFonts w:ascii="Arial" w:hAnsi="Arial"/>
                <w:b/>
                <w:sz w:val="19"/>
              </w:rPr>
              <w:t>月間売上合計</w:t>
            </w:r>
          </w:p>
        </w:tc>
        <w:tc>
          <w:tcPr>
            <w:tcW w:type="dxa" w:w="1417"/>
          </w:tcPr>
          <w:p>
            <w:pPr>
              <w:jc w:val="right"/>
            </w:pPr>
            <w:r/>
            <w:r>
              <w:rPr>
                <w:rFonts w:ascii="Arial" w:hAnsi="Arial"/>
                <w:b/>
                <w:sz w:val="19"/>
              </w:rPr>
              <w:t>—</w:t>
            </w:r>
          </w:p>
        </w:tc>
        <w:tc>
          <w:tcPr>
            <w:tcW w:type="dxa" w:w="1417"/>
          </w:tcPr>
          <w:p>
            <w:pPr>
              <w:jc w:val="right"/>
            </w:pPr>
            <w:r/>
            <w:r>
              <w:rPr>
                <w:rFonts w:ascii="Arial" w:hAnsi="Arial"/>
                <w:b/>
                <w:sz w:val="19"/>
              </w:rPr>
              <w:t>12万円</w:t>
            </w:r>
          </w:p>
        </w:tc>
        <w:tc>
          <w:tcPr>
            <w:tcW w:type="dxa" w:w="1417"/>
          </w:tcPr>
          <w:p>
            <w:pPr>
              <w:jc w:val="right"/>
            </w:pPr>
            <w:r/>
            <w:r>
              <w:rPr>
                <w:rFonts w:ascii="Arial" w:hAnsi="Arial"/>
                <w:b/>
                <w:sz w:val="19"/>
              </w:rPr>
              <w:t>130万円</w:t>
            </w:r>
          </w:p>
        </w:tc>
        <w:tc>
          <w:tcPr>
            <w:tcW w:type="dxa" w:w="1417"/>
          </w:tcPr>
          <w:p>
            <w:pPr>
              <w:jc w:val="right"/>
            </w:pPr>
            <w:r/>
            <w:r>
              <w:rPr>
                <w:rFonts w:ascii="Arial" w:hAnsi="Arial"/>
                <w:b/>
                <w:sz w:val="19"/>
              </w:rPr>
              <w:t>300万円</w:t>
            </w:r>
          </w:p>
        </w:tc>
      </w:tr>
      <w:tr>
        <w:tc>
          <w:tcPr>
            <w:tcW w:type="dxa" w:w="2268"/>
            <w:shd w:val="clear" w:fill="E8F0F8" w:color="auto"/>
          </w:tcPr>
          <w:p>
            <w:r/>
            <w:r>
              <w:rPr>
                <w:rFonts w:ascii="Arial" w:hAnsi="Arial"/>
                <w:sz w:val="19"/>
              </w:rPr>
              <w:t>主なコスト（月）</w:t>
            </w:r>
          </w:p>
        </w:tc>
        <w:tc>
          <w:tcPr>
            <w:tcW w:type="dxa" w:w="1417"/>
            <w:shd w:val="clear" w:fill="E8F0F8" w:color="auto"/>
          </w:tcPr>
          <w:p>
            <w:pPr>
              <w:jc w:val="right"/>
            </w:pPr>
            <w:r/>
            <w:r>
              <w:rPr>
                <w:rFonts w:ascii="Arial" w:hAnsi="Arial"/>
                <w:sz w:val="19"/>
              </w:rPr>
              <w:t>5万円</w:t>
            </w:r>
          </w:p>
        </w:tc>
        <w:tc>
          <w:tcPr>
            <w:tcW w:type="dxa" w:w="1417"/>
            <w:shd w:val="clear" w:fill="E8F0F8" w:color="auto"/>
          </w:tcPr>
          <w:p>
            <w:pPr>
              <w:jc w:val="right"/>
            </w:pPr>
            <w:r/>
            <w:r>
              <w:rPr>
                <w:rFonts w:ascii="Arial" w:hAnsi="Arial"/>
                <w:sz w:val="19"/>
              </w:rPr>
              <w:t>15万円</w:t>
            </w:r>
          </w:p>
        </w:tc>
        <w:tc>
          <w:tcPr>
            <w:tcW w:type="dxa" w:w="1417"/>
            <w:shd w:val="clear" w:fill="E8F0F8" w:color="auto"/>
          </w:tcPr>
          <w:p>
            <w:pPr>
              <w:jc w:val="right"/>
            </w:pPr>
            <w:r/>
            <w:r>
              <w:rPr>
                <w:rFonts w:ascii="Arial" w:hAnsi="Arial"/>
                <w:sz w:val="19"/>
              </w:rPr>
              <w:t>40万円</w:t>
            </w:r>
          </w:p>
        </w:tc>
        <w:tc>
          <w:tcPr>
            <w:tcW w:type="dxa" w:w="1417"/>
            <w:shd w:val="clear" w:fill="E8F0F8" w:color="auto"/>
          </w:tcPr>
          <w:p>
            <w:pPr>
              <w:jc w:val="right"/>
            </w:pPr>
            <w:r/>
            <w:r>
              <w:rPr>
                <w:rFonts w:ascii="Arial" w:hAnsi="Arial"/>
                <w:sz w:val="19"/>
              </w:rPr>
              <w:t>80万円</w:t>
            </w:r>
          </w:p>
        </w:tc>
      </w:tr>
      <w:tr>
        <w:tc>
          <w:tcPr>
            <w:tcW w:type="dxa" w:w="2268"/>
          </w:tcPr>
          <w:p>
            <w:r/>
            <w:r>
              <w:rPr>
                <w:rFonts w:ascii="Arial" w:hAnsi="Arial"/>
                <w:b/>
                <w:sz w:val="19"/>
              </w:rPr>
              <w:t>営業利益（月）</w:t>
            </w:r>
          </w:p>
        </w:tc>
        <w:tc>
          <w:tcPr>
            <w:tcW w:type="dxa" w:w="1417"/>
          </w:tcPr>
          <w:p>
            <w:pPr>
              <w:jc w:val="right"/>
            </w:pPr>
            <w:r/>
            <w:r>
              <w:rPr>
                <w:rFonts w:ascii="Arial" w:hAnsi="Arial"/>
                <w:b/>
                <w:sz w:val="19"/>
              </w:rPr>
              <w:t>▲ 5万円</w:t>
            </w:r>
          </w:p>
        </w:tc>
        <w:tc>
          <w:tcPr>
            <w:tcW w:type="dxa" w:w="1417"/>
          </w:tcPr>
          <w:p>
            <w:pPr>
              <w:jc w:val="right"/>
            </w:pPr>
            <w:r/>
            <w:r>
              <w:rPr>
                <w:rFonts w:ascii="Arial" w:hAnsi="Arial"/>
                <w:b/>
                <w:sz w:val="19"/>
              </w:rPr>
              <w:t>▲ 3万円</w:t>
            </w:r>
          </w:p>
        </w:tc>
        <w:tc>
          <w:tcPr>
            <w:tcW w:type="dxa" w:w="1417"/>
          </w:tcPr>
          <w:p>
            <w:pPr>
              <w:jc w:val="right"/>
            </w:pPr>
            <w:r/>
            <w:r>
              <w:rPr>
                <w:rFonts w:ascii="Arial" w:hAnsi="Arial"/>
                <w:b/>
                <w:sz w:val="19"/>
              </w:rPr>
              <w:t>90万円</w:t>
            </w:r>
          </w:p>
        </w:tc>
        <w:tc>
          <w:tcPr>
            <w:tcW w:type="dxa" w:w="1417"/>
          </w:tcPr>
          <w:p>
            <w:pPr>
              <w:jc w:val="right"/>
            </w:pPr>
            <w:r/>
            <w:r>
              <w:rPr>
                <w:rFonts w:ascii="Arial" w:hAnsi="Arial"/>
                <w:b/>
                <w:sz w:val="19"/>
              </w:rPr>
              <w:t>220万円</w:t>
            </w:r>
          </w:p>
        </w:tc>
      </w:tr>
    </w:tbl>
    <w:p/>
    <w:p>
      <w:pPr>
        <w:spacing w:after="80"/>
      </w:pPr>
      <w:r>
        <w:rPr>
          <w:rFonts w:ascii="Arial" w:hAnsi="Arial"/>
          <w:color w:val="555555"/>
          <w:sz w:val="18"/>
        </w:rPr>
        <w:t>※ 有料会員単価は月額4,000円、広告は1社あたり月額10万円で計算。コストはAPI利用料・サーバー費・ドメイン費等を含む。</w:t>
      </w:r>
    </w:p>
    <w:p>
      <w:pPr>
        <w:pBdr>
          <w:bottom w:val="single" w:sz="4" w:space="1" w:color="B0C4DE"/>
        </w:pBdr>
      </w:pPr>
    </w:p>
    <w:p>
      <w:pPr>
        <w:pStyle w:val="Heading1"/>
      </w:pPr>
      <w:r>
        <w:t>9. リスクと対策</w:t>
      </w:r>
    </w:p>
    <w:p>
      <w:pPr>
        <w:pStyle w:val="Heading3"/>
      </w:pPr>
      <w:r>
        <w:t>① AI添削の品質リスク</w:t>
      </w:r>
    </w:p>
    <w:p>
      <w:r>
        <w:t>不適切なアドバイスが受験結果に影響を与える可能性がある。対策として、元予備校講師による定期的な出力レビューとプロンプトの改善を行う。また、免責事項の明示および「最終判断は本人が行う」旨の設計思想を貫徹する。</w:t>
      </w:r>
    </w:p>
    <w:p>
      <w:pPr>
        <w:pStyle w:val="Heading3"/>
      </w:pPr>
      <w:r>
        <w:t>② 「AIが書いた」という批判リスク</w:t>
      </w:r>
    </w:p>
    <w:p>
      <w:r>
        <w:t>大学側からAI利用に対する懸念が示される可能性がある。これに対し、本サービスは原文の書き換えを行わず、指摘のみを行う設計とする。「書くのはあくまで受験生自身」というポジショニングを明確にすることで、大学側の理解も得やすい。</w:t>
      </w:r>
    </w:p>
    <w:p>
      <w:pPr>
        <w:pStyle w:val="Heading3"/>
      </w:pPr>
      <w:r>
        <w:t>③ 競合参入リスク</w:t>
      </w:r>
    </w:p>
    <w:p>
      <w:r>
        <w:t>大手塾やEdTech企業が同様のサービスを開始する可能性がある。先行者としてユーザー基盤とSEOドメインパワーを早期に確立し、切り替えコストを高めることが重要である。</w:t>
      </w:r>
    </w:p>
    <w:p>
      <w:pPr>
        <w:pStyle w:val="Heading3"/>
      </w:pPr>
      <w:r>
        <w:t>④ 季節性リスク</w:t>
      </w:r>
    </w:p>
    <w:p>
      <w:r>
        <w:t>総合型選抜の出願時期に需要が集中するため、収益の季節変動が大きい。学校推薦型選抜や面接対策など、通年需要のある機能を拡充することで平準化を図る。</w:t>
      </w:r>
    </w:p>
    <w:p>
      <w:pPr>
        <w:pBdr>
          <w:bottom w:val="single" w:sz="4" w:space="1" w:color="B0C4DE"/>
        </w:pBdr>
      </w:pPr>
    </w:p>
    <w:p>
      <w:pPr>
        <w:pStyle w:val="Heading1"/>
      </w:pPr>
      <w:r>
        <w:t>10. 当面のアクションプラン</w:t>
      </w:r>
    </w:p>
    <w:p>
      <w:r>
        <w:t>本事業を推進するにあたり、以下のアクションを優先的に実行する。</w:t>
      </w:r>
    </w:p>
    <w:p>
      <w:r>
        <w:t>1. AI添削機能のMVP開発（総合型選抜の評価基準を組み込んだプロンプト設計）</w:t>
      </w:r>
    </w:p>
    <w:p>
      <w:r>
        <w:t>2. SEO記事5〜10本の作成・公開</w:t>
      </w:r>
    </w:p>
    <w:p>
      <w:r>
        <w:t>3. Xアカウントの開設と受験垢コミュニティへのリーチ開始</w:t>
      </w:r>
    </w:p>
    <w:p>
      <w:r>
        <w:t>4. 元予備校講師との監修契約・ノウハウ提供体制の構築</w:t>
      </w:r>
    </w:p>
    <w:p>
      <w:r>
        <w:t>5. 無料添削サービスのベータリリースとユーザーフィードバックの収集</w:t>
      </w:r>
    </w:p>
    <w:p/>
    <w:p>
      <w:pPr>
        <w:spacing w:after="0"/>
        <w:jc w:val="right"/>
      </w:pPr>
      <w:r>
        <w:rPr>
          <w:rFonts w:ascii="Arial" w:hAnsi="Arial"/>
        </w:rPr>
        <w:t>以上</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