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0001" o:spid="_x0000_i0002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SAVING while Add 2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SAVING while Add 2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