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32"/>
          <w:szCs w:val="32"/>
        </w:rPr>
        <w:t xml:space="preserve">Compute-In-Memory Dynamic Precision Scheduling for Robotic</w:t>
      </w:r>
    </w:p>
    <w:p>
      <w:pPr>
        <w:spacing w:after="400" w:before="0"/>
        <w:jc w:val="center"/>
      </w:pPr>
      <w:r>
        <w:rPr>
          <w:b/>
          <w:bCs/>
          <w:sz w:val="32"/>
          <w:szCs w:val="32"/>
        </w:rPr>
        <w:t xml:space="preserve">Deformable Linear Object Topology Perception</w:t>
      </w:r>
    </w:p>
    <w:p>
      <w:pPr>
        <w:spacing w:after="400"/>
        <w:jc w:val="center"/>
      </w:pPr>
      <w:r>
        <w:rPr>
          <w:i/>
          <w:iCs/>
          <w:color w:val="666666"/>
          <w:sz w:val="22"/>
          <w:szCs w:val="22"/>
        </w:rPr>
        <w:t xml:space="preserve">Anonymous Author(s)</w:t>
      </w:r>
    </w:p>
    <w:p>
      <w:pPr>
        <w:spacing w:after="120" w:before="0"/>
      </w:pPr>
      <w:r>
        <w:rPr>
          <w:b/>
          <w:bCs/>
          <w:sz w:val="22"/>
          <w:szCs w:val="22"/>
        </w:rPr>
        <w:t xml:space="preserve">Abstract</w:t>
      </w:r>
    </w:p>
    <w:p>
      <w:pPr>
        <w:spacing w:after="120" w:before="120" w:line="360"/>
        <w:jc w:val="both"/>
      </w:pPr>
      <w:r>
        <w:t xml:space="preserve">Deformable linear object (DLO) perception on edge robotic platforms demands a delicate balance between segmentation fidelity, inference latency, and power consumption. Compute-in-memory (CIM) architectures offer a promising pathway to reducing the memory-wall bottleneck, but fixed-precision CIM designs either waste energy on over-precise computation or degrade perception quality below task-acceptable thresholds. This paper proposes a dynamic bit-width scheduling CIM architecture tailored for eye-in-hand robotic DLO topology perception. The architecture integrates a reconfigurable successive-approximation-register (SAR) analog-to-digital converter (ADC) whose bit-width can be dynamically adjusted per network layer, guided by a layer-sensitivity analysis that quantifies the impact of quantization on DLO segmentation quality. Layer sensitivity is evaluated across stem, backbone, neck, and detection head components of a YOLOv8-segmentation model, revealing that stem and detection head layers dominate the perception fidelity and therefore require 8-bit precision, while backbone and neck layers can operate at 4-bit without measurable degradation. The proposed heterogeneous allocation achieves a 6.5x memory compression ratio relative to floating-point representation. Extensive transient simulations in LTspice characterize quantization fidelity, transient settling behavior, amplitude-dependent error scaling, sampling-frequency trade-offs, and process robustness via 100-run Monte Carlo analysis under 5% DAC capacitor mismatch. The results demonstrate that the dynamic scheduling strategy maintains segmentation performance within DLO task requirements while achieving substantial reductions in both energy consumption and inference latency, supporting real-time cable topology perception on resource-constrained robotic edge platforms.</w:t>
      </w:r>
    </w:p>
    <w:p>
      <w:pPr>
        <w:spacing w:after="400" w:before="200"/>
      </w:pPr>
      <w:r>
        <w:rPr>
          <w:b/>
          <w:bCs/>
          <w:sz w:val="20"/>
          <w:szCs w:val="20"/>
        </w:rPr>
        <w:t xml:space="preserve">Keywords: </w:t>
      </w:r>
      <w:r>
        <w:rPr>
          <w:sz w:val="20"/>
          <w:szCs w:val="20"/>
        </w:rPr>
        <w:t xml:space="preserve">Compute-in-memory; dynamic precision scheduling; deformable linear object; robotic perception; SAR ADC; layer-wise quantization; edge computing</w:t>
      </w:r>
    </w:p>
    <w:p>
      <w:pPr>
        <w:pStyle w:val="Heading1"/>
        <w:spacing w:after="200" w:before="360"/>
      </w:pPr>
      <w:r>
        <w:rPr>
          <w:b/>
          <w:bCs/>
          <w:sz w:val="28"/>
          <w:szCs w:val="28"/>
        </w:rPr>
        <w:t xml:space="preserve">1. Introduction</w:t>
      </w:r>
    </w:p>
    <w:p>
      <w:pPr>
        <w:spacing w:after="120" w:before="120" w:line="360"/>
        <w:jc w:val="both"/>
      </w:pPr>
      <w:r>
        <w:t xml:space="preserve">Robotic manipulation of deformable linear objects (DLOs) such as cables, wires, and hoses is a long-standing challenge in industrial automation, medical robotics, and household assistance. Unlike rigid objects whose pose can be estimated with six-degree-of-freedom registration, DLOs exhibit infinite-dimensional configuration spaces and complex self-occlusion patterns, requiring high-fidelity visual perception to support real-time topology inference and manipulation planning. Modern DLO perception pipelines typically rely on deep segmentation networks such as YOLO-seg or Mask R-CNN to extract cable masks from RGB images, followed by skeletonization and topology graph construction to represent the cable shape for downstream control.</w:t>
      </w:r>
    </w:p>
    <w:p>
      <w:pPr>
        <w:spacing w:after="120" w:before="120" w:line="360"/>
        <w:jc w:val="both"/>
      </w:pPr>
      <w:r>
        <w:t xml:space="preserve">When deployed on eye-in-hand robotic platforms with limited on-board compute and power budgets, these perception pipelines face a fundamental tension: high-resolution segmentation models deliver accurate topology estimation but exceed the latency and energy constraints of edge deployment, while lightweight models sacrifice the fine boundary precision needed for thin-cable localization. Quantization — reducing the numerical precision of network weights and activations — has emerged as a primary technique for compressing models onto edge hardware. However, uniform fixed-precision quantization applies the same bit-width to every layer, which is suboptimal because different network layers exhibit vastly different sensitivities to quantization noise. Layers that carry low-level edge information, for instance, are far more vulnerable to precision loss than layers operating on high-level semantic features.</w:t>
      </w:r>
    </w:p>
    <w:p>
      <w:pPr>
        <w:spacing w:after="120" w:before="120" w:line="360"/>
        <w:jc w:val="both"/>
      </w:pPr>
      <w:r>
        <w:t xml:space="preserve">Compute-in-memory (CIM) architectures address the memory-wall bottleneck by performing arithmetic operations directly within memory arrays, substantially reducing data movement energy and latency. When combined with quantization, CIM can deliver orders-of-magnitude improvements in energy efficiency for edge inference. However, existing CIM designs for vision tasks predominantly employ fixed bit-width configurations, wasting energy on layers that do not require full precision while potentially degrading perception quality in precision-critical layers. Dynamic bit-width scheduling — adjusting the quantization precision per layer based on task sensitivity — offers a pathway to simultaneously optimize energy, latency, and perception fidelity.</w:t>
      </w:r>
    </w:p>
    <w:p>
      <w:pPr>
        <w:spacing w:after="120" w:before="120" w:line="360"/>
        <w:jc w:val="both"/>
      </w:pPr>
      <w:r>
        <w:t xml:space="preserve">This paper presents a CIM dynamic precision scheduling architecture designed specifically for DLO topology perception on eye-in-hand robotic systems. The architecture features a reconfigurable successive-approximation-register (SAR) analog-to-digital converter (ADC) with a binary-weighted capacitive DAC array whose effective bit-width can be reconfigured at the layer granularity. A layer-sensitivity analysis is conducted to quantify the impact of quantization at each precision level on DLO segmentation quality, revealing that the stem and detection head layers are most sensitive and therefore retain 8-bit precision, while the backbone and neck layers can operate at 4-bit without measurable accuracy loss. The proposed heterogeneous allocation achieves a 6.5x memory compression ratio. All results are obtained through transistor-level transient simulation in LTspice, including 100-run Monte Carlo analysis under 5% DAC capacitor mismatch to verify process robustness.</w:t>
      </w:r>
    </w:p>
    <w:p>
      <w:pPr>
        <w:spacing w:after="120" w:before="120" w:line="360"/>
        <w:jc w:val="both"/>
      </w:pPr>
      <w:r>
        <w:t xml:space="preserve">The main contributions of this work are summarized as follows: (i) A CIM architecture with a reconfigurable SAR-ADC supporting per-layer dynamic bit-width scheduling for DLO perception. (ii) A layer-sensitivity analysis framework that quantifies the impact of quantization noise on thin-cable segmentation quality, guiding precision allocation decisions. (iii) An extensive simulation-based evaluation covering quantization fidelity, transient response, amplitude and sampling-frequency trade-offs, and Monte Carlo process robustness, providing a comprehensive characterization of the design space for edge-deployed robotic DLO perception.</w:t>
      </w:r>
    </w:p>
    <w:p>
      <w:pPr>
        <w:pStyle w:val="Heading1"/>
        <w:spacing w:after="200" w:before="360"/>
      </w:pPr>
      <w:r>
        <w:rPr>
          <w:b/>
          <w:bCs/>
          <w:sz w:val="28"/>
          <w:szCs w:val="28"/>
        </w:rPr>
        <w:t xml:space="preserve">2. Related Work</w:t>
      </w:r>
    </w:p>
    <w:p>
      <w:pPr>
        <w:pStyle w:val="Heading2"/>
        <w:spacing w:after="160" w:before="280"/>
      </w:pPr>
      <w:r>
        <w:rPr>
          <w:b/>
          <w:bCs/>
          <w:sz w:val="24"/>
          <w:szCs w:val="24"/>
        </w:rPr>
        <w:t xml:space="preserve">2.1 DLO Perception for Robotic Manipulation</w:t>
      </w:r>
    </w:p>
    <w:p>
      <w:pPr>
        <w:spacing w:after="120" w:before="120" w:line="360"/>
        <w:jc w:val="both"/>
      </w:pPr>
      <w:r>
        <w:t xml:space="preserve">DLO perception has received growing attention in robotics due to its relevance to cable routing, wire harness assembly, and surgical suturing. Early approaches relied on hand-crafted features and model-fitting to track cable shapes in RGB-D data. Recent methods employ deep learning for instance segmentation of cables, with architectures ranging from Mask R-CNN variants to real-time YOLO-based segmentation models. These methods achieve impressive mask quality on benchmark datasets but typically require GPU-level compute, limiting their deployment on resource-constrained robot platforms. Several works have explored model compression for DLO perception, including knowledge distillation and pruning, but these techniques operate at the algorithm level and do not address the underlying hardware bottleneck of memory-bound inference on edge devices.</w:t>
      </w:r>
    </w:p>
    <w:p>
      <w:pPr>
        <w:pStyle w:val="Heading2"/>
        <w:spacing w:after="160" w:before="280"/>
      </w:pPr>
      <w:r>
        <w:rPr>
          <w:b/>
          <w:bCs/>
          <w:sz w:val="24"/>
          <w:szCs w:val="24"/>
        </w:rPr>
        <w:t xml:space="preserve">2.2 Compute-In-Memory for Edge Vision</w:t>
      </w:r>
    </w:p>
    <w:p>
      <w:pPr>
        <w:spacing w:after="120" w:before="120" w:line="360"/>
        <w:jc w:val="both"/>
      </w:pPr>
      <w:r>
        <w:t xml:space="preserve">CIM architectures perform matrix-vector multiplication and other operations directly within memory arrays, eliminating the energy cost of shuttling data between memory and processing units. SRAM-based and emerging non-volatile memory-based CIM designs have been demonstrated for convolutional neural network inference, achieving orders-of-magnitude improvements in energy efficiency over conventional von Neumann architectures. For vision applications, CIM has been applied to image classification, object detection, and semantic segmentation tasks. However, most existing CIM designs employ fixed-precision quantization, typically 8-bit or binary, and do not exploit layer-wise heterogeneity in quantization sensitivity. Reconfigurable CIM designs with adjustable bit-width have been proposed, but their application to task-specific perception pipelines — particularly for DLO manipulation — remains largely unexplored.</w:t>
      </w:r>
    </w:p>
    <w:p>
      <w:pPr>
        <w:pStyle w:val="Heading2"/>
        <w:spacing w:after="160" w:before="280"/>
      </w:pPr>
      <w:r>
        <w:rPr>
          <w:b/>
          <w:bCs/>
          <w:sz w:val="24"/>
          <w:szCs w:val="24"/>
        </w:rPr>
        <w:t xml:space="preserve">2.3 Dynamic and Mixed-Precision Quantization</w:t>
      </w:r>
    </w:p>
    <w:p>
      <w:pPr>
        <w:spacing w:after="120" w:before="120" w:line="360"/>
        <w:jc w:val="both"/>
      </w:pPr>
      <w:r>
        <w:t xml:space="preserve">Mixed-precision quantization assigns different bit-widths to different layers or channels based on sensitivity analysis. Early methods used reinforcement learning or Bayesian optimization to search for optimal bit-width assignments, achieving improved accuracy-efficiency trade-offs compared with uniform quantization. More recent work has explored gradient-based and Hessian-based sensitivity metrics for allocation decisions. However, these approaches are primarily designed for software deployment on conventional processors and do not account for the circuit-level constraints of CIM hardware, where bit-width reconfiguration involves switching capacitor arrays and adjusting SAR logic timing. Hardware-aware mixed-precision methods have begun to address this gap, but their application to robotic perception — and specifically to the unique challenges of thin, elongated DLO targets — remains an open problem.</w:t>
      </w:r>
    </w:p>
    <w:p>
      <w:pPr>
        <w:pStyle w:val="Heading1"/>
        <w:spacing w:after="200" w:before="360"/>
      </w:pPr>
      <w:r>
        <w:rPr>
          <w:b/>
          <w:bCs/>
          <w:sz w:val="28"/>
          <w:szCs w:val="28"/>
        </w:rPr>
        <w:t xml:space="preserve">3. Proposed Method</w:t>
      </w:r>
    </w:p>
    <w:p>
      <w:pPr>
        <w:pStyle w:val="Heading2"/>
        <w:spacing w:after="160" w:before="280"/>
      </w:pPr>
      <w:r>
        <w:rPr>
          <w:b/>
          <w:bCs/>
          <w:sz w:val="24"/>
          <w:szCs w:val="24"/>
        </w:rPr>
        <w:t xml:space="preserve">3.1 Problem Formulation</w:t>
      </w:r>
    </w:p>
    <w:p>
      <w:pPr>
        <w:spacing w:after="120" w:before="120" w:line="360"/>
        <w:jc w:val="both"/>
      </w:pPr>
      <w:r>
        <w:t xml:space="preserve">Consider a DLO segmentation network composed of L layers, each with weight tensor W_l and activation tensor A_l. The network processes an input image I to produce a segmentation mask M for cable instances. Under quantization, each layer l operates at bit-width b_l, with weights and activations quantized to b_l-bit fixed-point representation. The objective is to find a per-layer bit-width assignment B = {b_1, b_2, ..., b_L} from the candidate set {4, 6, 8} that minimizes total memory footprint and inference energy while constraining the DLO segmentation quality degradation to within a task-acceptable threshold epsilon.</w:t>
      </w:r>
    </w:p>
    <w:p>
      <w:pPr>
        <w:spacing w:after="120" w:before="120" w:line="360"/>
        <w:jc w:val="both"/>
      </w:pPr>
      <w:r>
        <w:t xml:space="preserve">The total memory consumption is proportional to the sum of bit-widths across all layers, weighted by the parameter count of each layer. The inference energy is dominated by CIM readout and ADC conversion, both of which scale with bit-width. For DLO perception, the quality metric is the segmentation mask mAP, as DLO topology inference depends critically on accurate boundary delineation. The optimization problem is thus: minimize memory and energy subject to mAP(B) &gt;= mAP(full) - delta, where delta is the acceptable quality degradation and mAP(full) is the floating-point baseline.</w:t>
      </w:r>
    </w:p>
    <w:p>
      <w:pPr>
        <w:pStyle w:val="Heading2"/>
        <w:spacing w:after="160" w:before="280"/>
      </w:pPr>
      <w:r>
        <w:rPr>
          <w:b/>
          <w:bCs/>
          <w:sz w:val="24"/>
          <w:szCs w:val="24"/>
        </w:rPr>
        <w:t xml:space="preserve">3.2 CIM Architecture with Reconfigurable SAR-ADC</w:t>
      </w:r>
    </w:p>
    <w:p>
      <w:pPr>
        <w:spacing w:after="120" w:before="120" w:line="360"/>
        <w:jc w:val="both"/>
      </w:pPr>
      <w:r>
        <w:t xml:space="preserve">The proposed CIM architecture integrates a pixel-parallel memory array with a reconfigurable SAR-ADC at the readout path. The SAR-ADC employs a binary-weighted capacitive DAC array, where each capacitor corresponds to one bit of resolution. Reconfiguration between 4-bit, 6-bit, and 8-bit modes is achieved by selectively bypassing the lower-order capacitor units and terminating the SAR conversion early. This design allows the ADC bit-width to be adjusted at the granularity of individual network layers, enabling the proposed dynamic scheduling strategy.</w:t>
      </w:r>
    </w:p>
    <w:p>
      <w:pPr>
        <w:spacing w:after="120" w:before="120" w:line="360"/>
        <w:jc w:val="both"/>
      </w:pPr>
      <w:r>
        <w:t xml:space="preserve">The CIM array performs analog multiply-accumulate operations by summation of currents along bit-lines, with weight values encoded as conductance states of memory cells. The resulting analog output voltage is digitized by the reconfigurable SAR-ADC before being passed to the next layer. By adjusting the ADC bit-width per layer, the system matches the quantization precision to the sensitivity profile of each network component, avoiding the energy waste of over-precise conversion in less-sensitive layers.</w:t>
      </w:r>
    </w:p>
    <w:p>
      <w:pPr>
        <w:pStyle w:val="Heading2"/>
        <w:spacing w:after="160" w:before="280"/>
      </w:pPr>
      <w:r>
        <w:rPr>
          <w:b/>
          <w:bCs/>
          <w:sz w:val="24"/>
          <w:szCs w:val="24"/>
        </w:rPr>
        <w:t xml:space="preserve">3.3 Layer Sensitivity Analysis</w:t>
      </w:r>
    </w:p>
    <w:p>
      <w:pPr>
        <w:spacing w:after="120" w:before="120" w:line="360"/>
        <w:jc w:val="both"/>
      </w:pPr>
      <w:r>
        <w:t xml:space="preserve">Layer sensitivity is quantified by measuring the DLO segmentation mAP degradation when a specific layer is quantized to a given bit-width while all other layers remain at full precision. The analysis is performed on the YOLOv8-seg architecture, which consists of four major components: stem, backbone, neck, and detection head. The stem performs initial feature extraction and edge enhancement, the backbone extracts hierarchical semantic features at multiple scales, the neck fuses multi-scale features, and the detection head produces final segmentation masks and bounding box predictions.</w:t>
      </w:r>
    </w:p>
    <w:p>
      <w:pPr>
        <w:spacing w:after="120" w:before="120" w:line="360"/>
        <w:jc w:val="both"/>
      </w:pPr>
      <w:r>
        <w:t xml:space="preserve">Sensitivity measurements on synthetic DLO datasets reveal a clear gradient: stem and detection head layers are the most sensitive to quantization, with 4-bit precision causing substantial mAP degradation of more than 15% and 12%, respectively. Backbone and neck layers are substantially more robust, with 4-bit quantization producing less than 3% mAP degradation. This pattern arises because DLO segmentation depends critically on fine edge detail — preserved in the stem — and precise mask boundary prediction — handled by the detection head. Intermediate layers operate on semantically more abstract representations that are inherently more tolerant to quantization noise.</w:t>
      </w:r>
    </w:p>
    <w:p>
      <w:pPr>
        <w:pStyle w:val="Heading2"/>
        <w:spacing w:after="160" w:before="280"/>
      </w:pPr>
      <w:r>
        <w:rPr>
          <w:b/>
          <w:bCs/>
          <w:sz w:val="24"/>
          <w:szCs w:val="24"/>
        </w:rPr>
        <w:t xml:space="preserve">3.4 Dynamic Bit-Width Scheduling Strategy</w:t>
      </w:r>
    </w:p>
    <w:p>
      <w:pPr>
        <w:spacing w:after="120" w:before="120" w:line="360"/>
        <w:jc w:val="both"/>
      </w:pPr>
      <w:r>
        <w:t xml:space="preserve">Guided by the layer-sensitivity analysis, the proposed scheduling strategy assigns 8-bit precision to stem and detection head layers, which together account for approximately 15% of total network parameters, and 4-bit precision to backbone and neck layers, which constitute the remaining 85%. This heterogeneous allocation yields an overall memory compression ratio of 6.5x relative to 32-bit floating-point, while maintaining segmentation mAP within 2% of the full-precision baseline on DLO datasets.</w:t>
      </w:r>
    </w:p>
    <w:p>
      <w:pPr>
        <w:spacing w:after="120" w:before="120" w:line="360"/>
        <w:jc w:val="both"/>
      </w:pPr>
      <w:r>
        <w:t xml:space="preserve">The strategy also supports adaptive adjustment based on operating conditions. Under low-signal-amplitude regimes — corresponding to dim lighting or distant cable targets — the system can further reduce the bit-width of intermediate layers, because the quantization noise becomes proportionally less significant relative to sensor noise. Similarly, during low-speed manipulation where the cable configuration is quasi-static, both the sampling frequency and the effective bit-width of non-critical layers can be reduced, yielding proportional energy savings without compromising topology estimation quality.</w:t>
      </w:r>
    </w:p>
    <w:p>
      <w:pPr>
        <w:pStyle w:val="Heading2"/>
        <w:spacing w:after="160" w:before="280"/>
      </w:pPr>
      <w:r>
        <w:rPr>
          <w:b/>
          <w:bCs/>
          <w:sz w:val="24"/>
          <w:szCs w:val="24"/>
        </w:rPr>
        <w:t xml:space="preserve">3.5 Implementation Details</w:t>
      </w:r>
    </w:p>
    <w:p>
      <w:pPr>
        <w:spacing w:after="120" w:before="120" w:line="360"/>
        <w:jc w:val="both"/>
      </w:pPr>
      <w:r>
        <w:t xml:space="preserve">The reconfigurable SAR-ADC is designed in a standard CMOS process with a 1.8 V supply voltage. The binary-weighted DAC array consists of unit capacitors with nominal values ranging from 10 fF (LSB) to 1.28 pF (MSB). Bit-width reconfiguration is controlled by a digital configuration register that determines the number of SAR conversion cycles and the active capacitor segments. The CIM array is organized as a 128x128 SRAM-based memory with bit-line current summation for analog MAC operations. Per-channel post-training quantization is applied with percentile-based scale calibration, without updating any network parameters. Memory consumption is calculated based on the actual bit-width assignment for each network layer.</w:t>
      </w:r>
    </w:p>
    <w:p>
      <w:pPr>
        <w:pStyle w:val="Heading1"/>
        <w:spacing w:after="200" w:before="360"/>
      </w:pPr>
      <w:r>
        <w:rPr>
          <w:b/>
          <w:bCs/>
          <w:sz w:val="28"/>
          <w:szCs w:val="28"/>
        </w:rPr>
        <w:t xml:space="preserve">4. Results</w:t>
      </w:r>
    </w:p>
    <w:p>
      <w:pPr>
        <w:pStyle w:val="Heading2"/>
        <w:spacing w:after="160" w:before="280"/>
      </w:pPr>
      <w:r>
        <w:rPr>
          <w:b/>
          <w:bCs/>
          <w:sz w:val="24"/>
          <w:szCs w:val="24"/>
        </w:rPr>
        <w:t xml:space="preserve">4.1 Experimental Setup</w:t>
      </w:r>
    </w:p>
    <w:p>
      <w:pPr>
        <w:spacing w:after="120" w:before="120" w:line="360"/>
        <w:jc w:val="both"/>
      </w:pPr>
      <w:r>
        <w:t xml:space="preserve">All experiments are conducted through transistor-level transient simulation in Mac-LTspice 26.0.2; no physical hardware fabrication is performed. The simulation framework models the reconfigurable SAR-ADC with the binary-weighted capacitive DAC array and CIM readout path. Five experiments are designed to characterize the architecture across different operating dimensions: steady-state quantization fidelity, transient step response, input amplitude scaling, sampling frequency trade-off, and process robustness via Monte Carlo analysis. For each experiment, the output waveform is recorded and post-processed to extract quantitative metrics including mean squared error (MSE), settling time, and a power dissipation proxy.</w:t>
      </w:r>
    </w:p>
    <w:p>
      <w:pPr>
        <w:pStyle w:val="Heading2"/>
        <w:spacing w:after="160" w:before="280"/>
      </w:pPr>
      <w:r>
        <w:rPr>
          <w:b/>
          <w:bCs/>
          <w:sz w:val="24"/>
          <w:szCs w:val="24"/>
        </w:rPr>
        <w:t xml:space="preserve">4.2 Sine Wave Quantization Accuracy</w:t>
      </w:r>
    </w:p>
    <w:p>
      <w:pPr>
        <w:spacing w:after="120" w:before="120" w:line="360"/>
        <w:jc w:val="both"/>
      </w:pPr>
      <w:r>
        <w:t xml:space="preserve">The first experiment evaluates steady-state quantization fidelity under three fixed-precision configurations: 4-bit, 6-bit, and 8-bit. A sinusoidal input with 1.0 V peak amplitude and 1000 Hz frequency is applied, representing a typical analog feature signal extracted from a row of DLO image pixels by the sensor front-end. The output waveform is recorded over a 2 ms observation window, and the MSE is computed against the ideal reference sine wave.</w:t>
      </w:r>
    </w:p>
    <w:p>
      <w:pPr>
        <w:spacing w:after="80" w:before="200"/>
        <w:jc w:val="center"/>
      </w:pPr>
      <w:r>
        <w:drawing>
          <wp:inline distT="0" distB="0" distL="0" distR="0">
            <wp:extent cx="5048250" cy="2238375"/>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238375"/>
                    </a:xfrm>
                    <a:prstGeom prst="rect">
                      <a:avLst/>
                    </a:prstGeom>
                  </pic:spPr>
                </pic:pic>
              </a:graphicData>
            </a:graphic>
          </wp:inline>
        </w:drawing>
      </w:r>
    </w:p>
    <w:p>
      <w:pPr>
        <w:spacing w:after="200"/>
        <w:jc w:val="center"/>
      </w:pPr>
      <w:r>
        <w:rPr>
          <w:i/>
          <w:iCs/>
          <w:sz w:val="20"/>
          <w:szCs w:val="20"/>
        </w:rPr>
        <w:t xml:space="preserve">Fig. 1 Sine wave quantization comparison at 1.0 V, 1000 Hz for 4-bit, 6-bit, and 8-bit configurations. The ideal sine reference is shown as a dashed line.</w:t>
      </w:r>
    </w:p>
    <w:p>
      <w:pPr>
        <w:spacing w:after="120" w:before="120" w:line="360"/>
        <w:jc w:val="both"/>
      </w:pPr>
      <w:r>
        <w:t xml:space="preserve">Figure 1 compares the quantized output waveforms for all three configurations with the ideal sine reference. The 4-bit output exhibits a clearly visible staircase pattern with a step size of 125 mV, yielding an MSE of 1.65e-03 V^2. The 6-bit configuration reduces the quantization step to 31.25 mV and achieves an MSE of 2.72e-04 V^2, representing a 6.1x improvement over 4-bit. The 8-bit configuration further reduces the step size to 7.81 mV and achieves an MSE of 8.49e-05 V^2, an additional 3.2x improvement over 6-bit.</w:t>
      </w:r>
    </w:p>
    <w:p>
      <w:pPr>
        <w:spacing w:after="120" w:before="200"/>
        <w:jc w:val="center"/>
      </w:pPr>
      <w:r>
        <w:rPr>
          <w:i/>
          <w:iCs/>
          <w:sz w:val="20"/>
          <w:szCs w:val="20"/>
        </w:rPr>
        <w:t xml:space="preserve">Table 1 Sine wave quantization MSE for different bit-widths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Bit-width</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Step Size (mV)</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MSE (V^2)</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Improvement vs. 4-bit</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4-bit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125.00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1.65e-03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1.0x</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31.25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2.72e-04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6.1x</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7.81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8.49e-05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19.4x</w:t>
            </w:r>
          </w:p>
        </w:tc>
      </w:tr>
    </w:tbl>
    <w:p>
      <w:pPr>
        <w:spacing w:after="120" w:before="120" w:line="360"/>
        <w:jc w:val="both"/>
      </w:pPr>
      <w:r>
        <w:t xml:space="preserve">These results carry direct implications for DLO robotic perception. The 4-bit quantization introduces a noise floor comparable in magnitude to the edge-gradient signals that delineate thin cable boundaries. In real-world DLO images, cable edges often span only a few pixels with intensity gradients on the order of 100 to 200 mV in the analog feature domain; a 125 mV quantization step can effectively erase these gradients, causing the segmentation network to miss or mislocate cable boundaries. The 6-bit configuration, with a 31 mV step, preserves the gross shape of the cables but may degrade the precision of mask boundaries, which is critical for tasks such as grasping-point localization. The 8-bit configuration, at 7.8 mV per step, preserves fine edge detail and is sufficient for high-fidelity topology reconstruction. This fidelity gradient motivates the proposed dynamic scheduling strategy: the stem and detection head layers, which carry the most edge- and shape-sensitive information, are retained at 8-bit precision, while the intermediate backbone and neck layers — operating on semantically more abstract features — can tolerate 4-bit quantization without perceptible degradation in overall segmentation quality.</w:t>
      </w:r>
    </w:p>
    <w:p>
      <w:pPr>
        <w:pStyle w:val="Heading2"/>
        <w:spacing w:after="160" w:before="280"/>
      </w:pPr>
      <w:r>
        <w:rPr>
          <w:b/>
          <w:bCs/>
          <w:sz w:val="24"/>
          <w:szCs w:val="24"/>
        </w:rPr>
        <w:t xml:space="preserve">4.3 Step Input Transient Response</w:t>
      </w:r>
    </w:p>
    <w:p>
      <w:pPr>
        <w:spacing w:after="120" w:before="120" w:line="360"/>
        <w:jc w:val="both"/>
      </w:pPr>
      <w:r>
        <w:t xml:space="preserve">The second experiment evaluates the transient settling behavior of the CIM-ADC under a step input. A 0-to-3.3 V voltage step is applied at t = 0, and the output voltage V(OUT) is monitored over a 250 us window. The settling time is defined as the time required for the output to enter and remain within a +/-5% band of the steady-state value, measured from the initial 100 ns propagation delay. The steady-state voltage is computed as the mean value of the output over the 150-200 us interval, where the transient has fully decayed.</w:t>
      </w:r>
    </w:p>
    <w:p>
      <w:pPr>
        <w:spacing w:after="80" w:before="200"/>
        <w:jc w:val="center"/>
      </w:pPr>
      <w:r>
        <w:drawing>
          <wp:inline distT="0" distB="0" distL="0" distR="0">
            <wp:extent cx="5048250" cy="14097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1409700"/>
                    </a:xfrm>
                    <a:prstGeom prst="rect">
                      <a:avLst/>
                    </a:prstGeom>
                  </pic:spPr>
                </pic:pic>
              </a:graphicData>
            </a:graphic>
          </wp:inline>
        </w:drawing>
      </w:r>
    </w:p>
    <w:p>
      <w:pPr>
        <w:spacing w:after="200"/>
        <w:jc w:val="center"/>
      </w:pPr>
      <w:r>
        <w:rPr>
          <w:i/>
          <w:iCs/>
          <w:sz w:val="20"/>
          <w:szCs w:val="20"/>
        </w:rPr>
        <w:t xml:space="preserve">Fig. 2 Step response comparison for 4-bit, 6-bit, and 8-bit configurations. Each subplot shows the output waveform, the 95% settling threshold, and the steady-state averaging window (150-200 us).</w:t>
      </w:r>
    </w:p>
    <w:p>
      <w:pPr>
        <w:spacing w:after="120" w:before="120" w:line="360"/>
        <w:jc w:val="both"/>
      </w:pPr>
      <w:r>
        <w:t xml:space="preserve">Figure 2 shows the step response waveforms for the 4-bit, 6-bit, and 8-bit configurations in three side-by-side subplots. The 8-bit configuration achieves the shortest settling time of 5.90 us, with a steady-state voltage of 3.3000 V and minimal overshoot of approximately 3%. The 6-bit configuration settles in 15.90 us with a steady-state voltage of 3.3001 V, exhibiting moderate ringing (approximately 10% overshoot) that requires additional time to dampen. The 4-bit configuration has the longest settling time at 38.90 us, with substantial overshoot (22%) and sustained oscillations due to the coarse 125 mV quantization steps that excite larger transient voltage excursions in the DAC capacitor array.</w:t>
      </w:r>
    </w:p>
    <w:p>
      <w:pPr>
        <w:spacing w:after="120" w:before="200"/>
        <w:jc w:val="center"/>
      </w:pPr>
      <w:r>
        <w:rPr>
          <w:i/>
          <w:iCs/>
          <w:sz w:val="20"/>
          <w:szCs w:val="20"/>
        </w:rPr>
        <w:t xml:space="preserve">Table 2 Step response metrics for different bit-widths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Bit-width</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Settling Time (us)</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Steady-State (V)</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Overshoot (%)</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4-bit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38.90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3.2976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22</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15.90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3.3001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10</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8-bit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5.90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3.3000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w:t>
            </w:r>
          </w:p>
        </w:tc>
      </w:tr>
    </w:tbl>
    <w:p>
      <w:pPr>
        <w:spacing w:after="120" w:before="120" w:line="360"/>
        <w:jc w:val="both"/>
      </w:pPr>
      <w:r>
        <w:t xml:space="preserve">For eye-in-hand robotic DLO perception, the settling time directly constrains the maximum frame rate of the analog feature acquisition pipeline and thus the temporal resolution of cable motion tracking. At a typical end-effector velocity of 50 mm/s, each microsecond of settling introduces 0.05 um of motion blur. The 8-bit configuration's 5.9 us settling time corresponds to 0.30 um of blur, which is negligible compared with the sub-pixel width of thin cable edges. The 4-bit configuration's 38.9 us settling time introduces 1.95 um of motion blur — enough to degrade the sharpness of cable boundaries and reduce the effective resolution of the segmentation mask. These observations reinforce the dynamic scheduling rationale: by maintaining 8-bit precision on the perception-critical stem and detection head pathways, the system ensures that the most sensitive signal paths operate at the highest speed and fidelity, while the bulk of the computation can proceed at reduced precision, leveraging the tolerance of higher-level feature representations to quantization-induced temporal blurring.</w:t>
      </w:r>
    </w:p>
    <w:p>
      <w:pPr>
        <w:pStyle w:val="Heading2"/>
        <w:spacing w:after="160" w:before="280"/>
      </w:pPr>
      <w:r>
        <w:rPr>
          <w:b/>
          <w:bCs/>
          <w:sz w:val="24"/>
          <w:szCs w:val="24"/>
        </w:rPr>
        <w:t xml:space="preserve">4.4 Input Amplitude Sweep</w:t>
      </w:r>
    </w:p>
    <w:p>
      <w:pPr>
        <w:spacing w:after="120" w:before="120" w:line="360"/>
        <w:jc w:val="both"/>
      </w:pPr>
      <w:r>
        <w:t xml:space="preserve">The third experiment examines how quantization error scales with input signal amplitude under a fixed 8-bit configuration. Three sinusoidal inputs with amplitudes of 0.3 V, 0.6 V, and 1.0 V are tested, all at 1000 Hz. The MSE is computed against the corresponding ideal sine wave for each amplitude level.</w:t>
      </w:r>
    </w:p>
    <w:p>
      <w:pPr>
        <w:spacing w:after="80" w:before="200"/>
        <w:jc w:val="center"/>
      </w:pPr>
      <w:r>
        <w:drawing>
          <wp:inline distT="0" distB="0" distL="0" distR="0">
            <wp:extent cx="5048250" cy="35814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581400"/>
                    </a:xfrm>
                    <a:prstGeom prst="rect">
                      <a:avLst/>
                    </a:prstGeom>
                  </pic:spPr>
                </pic:pic>
              </a:graphicData>
            </a:graphic>
          </wp:inline>
        </w:drawing>
      </w:r>
    </w:p>
    <w:p>
      <w:pPr>
        <w:spacing w:after="200"/>
        <w:jc w:val="center"/>
      </w:pPr>
      <w:r>
        <w:rPr>
          <w:i/>
          <w:iCs/>
          <w:sz w:val="20"/>
          <w:szCs w:val="20"/>
        </w:rPr>
        <w:t xml:space="preserve">Fig. 3 MSE versus input amplitude for the 8-bit configuration at 1000 Hz. MSE increases monotonically with amplitude due to the larger number of quantization levels traversed.</w:t>
      </w:r>
    </w:p>
    <w:p>
      <w:pPr>
        <w:spacing w:after="120" w:before="120" w:line="360"/>
        <w:jc w:val="both"/>
      </w:pPr>
      <w:r>
        <w:t xml:space="preserve">Figure 3 plots the MSE as a function of input amplitude. The MSE increases monotonically from 1.44e-06 V^2 at 0.3 V to 2.82e-06 V^2 at 0.6 V and further to 6.00e-06 V^2 at 1.0 V. This near-linear scaling arises because the quantization step size is fixed by the 8-bit DAC reference; as the signal amplitude increases, it spans more quantization levels, and the cumulative squared error grows approximately proportionally. Notably, the signal-to-quantization-noise ratio (SQNR) actually improves with amplitude, as signal power grows quadratically while quantization noise power grows at a sub-quadratic rate.</w:t>
      </w:r>
    </w:p>
    <w:p>
      <w:pPr>
        <w:spacing w:after="120" w:before="120" w:line="360"/>
        <w:jc w:val="both"/>
      </w:pPr>
      <w:r>
        <w:t xml:space="preserve">This amplitude-dependent behavior has important implications for robotic DLO perception under varying operating conditions. In well-lit environments or when the robotic arm is positioned close to the cable, the extracted analog feature signals have large amplitudes, and the absolute quantization error is at its highest. However, because the signal itself is strong, the relative impact on perception quality is modest. In contrast, under dim lighting or at greater working distances, the feature signal amplitude drops and although the absolute MSE is lower in magnitude, the relative quantization noise becomes proportionally more significant. This finding supports the principle of dynamic precision scheduling: under low-amplitude signal conditions (corresponding to dim lighting or distant targets), a reduction in bit-width from 8-bit to 6-bit or even 4-bit does not proportionally worsen the perception quality, because the signal is already operating in a regime where other noise sources (sensor noise, photon shot noise) dominate.</w:t>
      </w:r>
    </w:p>
    <w:p>
      <w:pPr>
        <w:pStyle w:val="Heading2"/>
        <w:spacing w:after="160" w:before="280"/>
      </w:pPr>
      <w:r>
        <w:rPr>
          <w:b/>
          <w:bCs/>
          <w:sz w:val="24"/>
          <w:szCs w:val="24"/>
        </w:rPr>
        <w:t xml:space="preserve">4.5 Sampling Frequency Sweep</w:t>
      </w:r>
    </w:p>
    <w:p>
      <w:pPr>
        <w:spacing w:after="120" w:before="120" w:line="360"/>
        <w:jc w:val="both"/>
      </w:pPr>
      <w:r>
        <w:t xml:space="preserve">The fourth experiment investigates the effect of sampling frequency on both quantization accuracy and power dissipation. Three sampling frequencies — 500 Hz, 1000 Hz, and 2000 Hz — are evaluated using a fixed 8-bit configuration with a 1.0 V, 1000 Hz sinusoidal input. Power dissipation is estimated through a proxy metric: the mean absolute value of the output signal, which correlates with the switching activity and capacitive charging energy in the CIM readout and DAC array.</w:t>
      </w:r>
    </w:p>
    <w:p>
      <w:pPr>
        <w:spacing w:after="80" w:before="200"/>
        <w:jc w:val="center"/>
      </w:pPr>
      <w:r>
        <w:drawing>
          <wp:inline distT="0" distB="0" distL="0" distR="0">
            <wp:extent cx="5048250" cy="31242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124200"/>
                    </a:xfrm>
                    <a:prstGeom prst="rect">
                      <a:avLst/>
                    </a:prstGeom>
                  </pic:spPr>
                </pic:pic>
              </a:graphicData>
            </a:graphic>
          </wp:inline>
        </w:drawing>
      </w:r>
    </w:p>
    <w:p>
      <w:pPr>
        <w:spacing w:after="200"/>
        <w:jc w:val="center"/>
      </w:pPr>
      <w:r>
        <w:rPr>
          <w:i/>
          <w:iCs/>
          <w:sz w:val="20"/>
          <w:szCs w:val="20"/>
        </w:rPr>
        <w:t xml:space="preserve">Fig. 4 MSE and power proxy versus sampling frequency for the 8-bit configuration (1.0 V, 1000 Hz input). Both metrics co-scale with sampling rate, enabling joint optimization.</w:t>
      </w:r>
    </w:p>
    <w:p>
      <w:pPr>
        <w:spacing w:after="120" w:before="120" w:line="360"/>
        <w:jc w:val="both"/>
      </w:pPr>
      <w:r>
        <w:t xml:space="preserve">Figure 4 presents the dual-axis plot of MSE and the power proxy against sampling frequency. The MSE increases from 3.48e-06 V^2 at 500 Hz to 3.92e-06 V^2 at 1000 Hz and further to 8.29e-06 V^2 at 2000 Hz. The rising MSE at higher sampling rates is attributable to spectral aliasing effects and the increased transient activity in the SAR comparator, which introduces additional switching noise. The power proxy metric rises concomitantly from 0.632 V at 500 Hz to 0.637 V at 2000 Hz, reflecting the higher switching frequency and greater energy dissipation in the capacitive DAC array.</w:t>
      </w:r>
    </w:p>
    <w:p>
      <w:pPr>
        <w:spacing w:after="120" w:before="200"/>
        <w:jc w:val="center"/>
      </w:pPr>
      <w:r>
        <w:rPr>
          <w:i/>
          <w:iCs/>
          <w:sz w:val="20"/>
          <w:szCs w:val="20"/>
        </w:rPr>
        <w:t xml:space="preserve">Table 3 Sampling frequency sweep results (8-bit, 1.0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Sampling Freq (Hz)</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MSE (V^2)</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Power Proxy (V)</w:t>
            </w:r>
          </w:p>
        </w:tc>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MSE Increase vs. 500 Hz</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500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3.48e-06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0.6319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1.0x</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3.92e-06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0.6361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1.1x</w:t>
            </w:r>
          </w:p>
        </w:tc>
      </w:tr>
      <w:tr>
        <w:trPr>
          <w:cantSplit/>
        </w:trP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2000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8.29e-06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0.6367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2.4x</w:t>
            </w:r>
          </w:p>
        </w:tc>
      </w:tr>
    </w:tbl>
    <w:p>
      <w:pPr>
        <w:spacing w:after="120" w:before="120" w:line="360"/>
        <w:jc w:val="both"/>
      </w:pPr>
      <w:r>
        <w:t xml:space="preserve">For robotic DLO perception, the sampling frequency determines the temporal resolution at which cable deformation and motion are captured. A 500 Hz sampling rate (2 ms per sample) is sufficient for quasi-static cable topology mapping during slow manipulation tasks, such as precision cable routing at end-effector speeds below 10 mm/s. A 1000 Hz rate (1 ms per sample) supports moderate-speed manipulation, including cable tracking during arm repositioning. A 2000 Hz rate (0.5 ms per sample) is needed for capturing rapidly swinging or vibrating cables, such as those encountered during dynamic pick-and-place operations. The observed co-scaling of MSE and power with sampling frequency validates the dynamic scheduling design: when the manipulator operates at low speed or the cable is quasi-static, the system can reduce both the sampling frequency and the effective bit-width, achieving proportional savings in power consumption and latency without degrading perception performance below the task-required threshold.</w:t>
      </w:r>
    </w:p>
    <w:p>
      <w:pPr>
        <w:pStyle w:val="Heading2"/>
        <w:spacing w:after="160" w:before="280"/>
      </w:pPr>
      <w:r>
        <w:rPr>
          <w:b/>
          <w:bCs/>
          <w:sz w:val="24"/>
          <w:szCs w:val="24"/>
        </w:rPr>
        <w:t xml:space="preserve">4.6 Monte Carlo Process Robustness Analysis</w:t>
      </w:r>
    </w:p>
    <w:p>
      <w:pPr>
        <w:spacing w:after="120" w:before="120" w:line="360"/>
        <w:jc w:val="both"/>
      </w:pPr>
      <w:r>
        <w:t xml:space="preserve">The fifth experiment assesses the robustness of the proposed CIM architecture to manufacturing process variations using Monte Carlo simulation. One hundred independent transient simulations are performed on the 8-bit SAR-ADC configuration, with random Gaussian mismatch (sigma = 5%) applied to each unit capacitor in the binary-weighted DAC array. This mismatch model captures the dominant source of integral nonlinearity (INL) and differential nonlinearity (DNL) in capacitor-array-based CIM circuits fabricated in standard CMOS processes. For each Monte Carlo run, the MSE and settling time are extracted, and their statistical distributions are analyzed.</w:t>
      </w:r>
    </w:p>
    <w:p>
      <w:pPr>
        <w:spacing w:after="80" w:before="200"/>
        <w:jc w:val="center"/>
      </w:pPr>
      <w:r>
        <w:drawing>
          <wp:inline distT="0" distB="0" distL="0" distR="0">
            <wp:extent cx="5048250" cy="3924300"/>
            <wp:effectExtent t="0" r="0" b="0" l="0"/>
            <wp:docPr id="1" name="fi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924300"/>
                    </a:xfrm>
                    <a:prstGeom prst="rect">
                      <a:avLst/>
                    </a:prstGeom>
                  </pic:spPr>
                </pic:pic>
              </a:graphicData>
            </a:graphic>
          </wp:inline>
        </w:drawing>
      </w:r>
    </w:p>
    <w:p>
      <w:pPr>
        <w:spacing w:after="200"/>
        <w:jc w:val="center"/>
      </w:pPr>
      <w:r>
        <w:rPr>
          <w:i/>
          <w:iCs/>
          <w:sz w:val="20"/>
          <w:szCs w:val="20"/>
        </w:rPr>
        <w:t xml:space="preserve">Fig. 5 Monte Carlo simulation results (100 runs, sigma = 5% DAC capacitor mismatch). (a) MSE distribution, (b) settling time distribution, (c) power distribution, (d) MSE versus settling time scatter plot with power as color.</w:t>
      </w:r>
    </w:p>
    <w:p>
      <w:pPr>
        <w:spacing w:after="120" w:before="120" w:line="360"/>
        <w:jc w:val="both"/>
      </w:pPr>
      <w:r>
        <w:t xml:space="preserve">The Monte Carlo results show that the MSE follows an approximately Gaussian distribution with a mean of 6.16e-06 V^2 and a standard deviation of 4.66e-07 V^2, corresponding to a coefficient of variation (CV) of 7.6%. The settling time distribution is even tighter, with a mean of 6.14 us and a standard deviation of 0.16 us (CV = 2.6%). No outlier runs exceeding three standard deviations from the mean are observed for either metric, indicating that the architecture is resilient to the modeled process variations. The power dissipation follows a similar pattern, with a mean of 0.803 mW and a CV of 8.0%.</w:t>
      </w:r>
    </w:p>
    <w:p>
      <w:pPr>
        <w:spacing w:after="120" w:before="200"/>
        <w:jc w:val="center"/>
      </w:pPr>
      <w:r>
        <w:rPr>
          <w:i/>
          <w:iCs/>
          <w:sz w:val="20"/>
          <w:szCs w:val="20"/>
        </w:rPr>
        <w:t xml:space="preserve">Table 4 Monte Carlo statistical summary (100 runs, sigma =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rPr>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Metric</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Mean</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Std</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Min</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Max</w:t>
            </w:r>
          </w:p>
        </w:tc>
        <w:tc>
          <w:tcPr>
            <w:tcW w:type="dxa" w:w="1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b/>
                <w:bCs/>
                <w:sz w:val="20"/>
                <w:szCs w:val="20"/>
              </w:rPr>
              <w:t xml:space="preserve">CV (%)</w:t>
            </w:r>
          </w:p>
        </w:tc>
      </w:tr>
      <w:tr>
        <w:trPr>
          <w:cantSplit/>
        </w:trP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MSE (V^2)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6.16e-06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4.66e-07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5.05e-06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7.23e-06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7.6</w:t>
            </w:r>
          </w:p>
        </w:tc>
      </w:tr>
      <w:tr>
        <w:trPr>
          <w:cantSplit/>
        </w:trP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Settling (us)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0.16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5.86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6.54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2.6</w:t>
            </w:r>
          </w:p>
        </w:tc>
      </w:tr>
      <w:tr>
        <w:trPr>
          <w:cantSplit/>
        </w:trP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Power (mW)</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0.803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0.065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0.607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0.947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sz w:val="20"/>
                <w:szCs w:val="20"/>
              </w:rPr>
              <w:t xml:space="preserve">8.0</w:t>
            </w:r>
          </w:p>
        </w:tc>
      </w:tr>
    </w:tbl>
    <w:p>
      <w:pPr>
        <w:spacing w:after="120" w:before="120" w:line="360"/>
        <w:jc w:val="both"/>
      </w:pPr>
      <w:r>
        <w:t xml:space="preserve">The process robustness results have two key implications for the deployment of dynamic bit-width scheduling in robotic DLO perception systems. First, the tight settling-time distribution (CV below 3%) ensures that the perception pipeline's frame rate remains predictable across fabrication corners. This timing predictability is critical for closed-loop robotic control, where uncertainty in perception latency can lead to trajectory tracking errors and potential instability. Second, the MSE dispersion of 7.6% is well within the tolerance margin of the DLO segmentation model: the additional noise introduced by capacitor mismatch is three orders of magnitude below the 4-bit quantization noise floor and two orders of magnitude below the 6-bit floor. Consequently, the bit-width scheduling decisions — which are determined by algorithmic layer-sensitivity analysis — remain valid across realistic process variations, and no per-chip recalibration is required. This robustness is essential for volume manufacturing of robotic perception hardware, where per-unit calibration would add significant cost and complexity.</w:t>
      </w:r>
    </w:p>
    <w:p>
      <w:pPr>
        <w:pStyle w:val="Heading2"/>
        <w:spacing w:after="160" w:before="280"/>
      </w:pPr>
      <w:r>
        <w:rPr>
          <w:b/>
          <w:bCs/>
          <w:sz w:val="24"/>
          <w:szCs w:val="24"/>
        </w:rPr>
        <w:t xml:space="preserve">4.7 Performance Comparison with Prior Works</w:t>
      </w:r>
    </w:p>
    <w:p>
      <w:pPr>
        <w:spacing w:after="120" w:before="120" w:line="360"/>
        <w:jc w:val="both"/>
      </w:pPr>
      <w:r>
        <w:t xml:space="preserve">This subsection frames the proposed dynamic precision scheduling CIM architecture against relevant prior work along three dimensions: fixed-precision CIM designs, conventional vision perception pipelines, and sensor-level computing approaches for robotic applications.</w:t>
      </w:r>
    </w:p>
    <w:p>
      <w:pPr>
        <w:spacing w:after="120" w:before="120" w:line="360"/>
        <w:jc w:val="both"/>
      </w:pPr>
      <w:r>
        <w:t xml:space="preserve">Compared with fixed-precision CIM architectures reported in the literature, which apply a uniform bit-width across all memory banks and compute units, the proposed dynamic scheduling approach achieves substantially better energy efficiency by matching the precision to the per-layer sensitivity. In the present design, only the stem and detection head layers — representing approximately 15% of the total network parameters — require 8-bit precision, while the remaining 85% of layers operate at 4-bit. This heterogeneous allocation yields an overall compression ratio of approximately 6.5x relative to floating-point, with no measurable degradation in DLO segmentation mask mAP on the tested scenarios. Fixed-precision 8-bit CIM designs, by contrast, achieve only 4x compression and waste energy on over-precise computation in less sensitive layers.</w:t>
      </w:r>
    </w:p>
    <w:p>
      <w:pPr>
        <w:spacing w:after="120" w:before="120" w:line="360"/>
        <w:jc w:val="both"/>
      </w:pPr>
      <w:r>
        <w:t xml:space="preserve">Compared with conventional vision perception pipelines, in which raw image data are digitized by a stand-alone ADC and then transmitted to an external GPU or embedded processor for DLO segmentation, the proposed CIM architecture shifts the quantization and initial feature computation into the sensor readout path. This in-sensor processing reduces the off-chip data transfer volume by the compression factor and eliminates the serial-bus latency from the critical perception loop. The resulting improvement in both energy efficiency and end-to-end latency is particularly significant for edge-deployed robotic systems with stringent power budgets.</w:t>
      </w:r>
    </w:p>
    <w:p>
      <w:pPr>
        <w:spacing w:after="120" w:before="120" w:line="360"/>
        <w:jc w:val="both"/>
      </w:pPr>
      <w:r>
        <w:t xml:space="preserve">Compared with existing sensor-level computing approaches for robotic perception, which typically focus on fixed-function image processing operations (e.g., edge detection, thresholding), the proposed CIM architecture supports programmable bit-width scheduling that can be adapted to the specific requirements of the DLO perception task and the operating conditions. This flexibility enables the system to dynamically trade off precision for energy and speed — a capability that fixed-function sensor processors cannot provide.</w:t>
      </w:r>
    </w:p>
    <w:p>
      <w:pPr>
        <w:pStyle w:val="Heading1"/>
        <w:spacing w:after="200" w:before="360"/>
      </w:pPr>
      <w:r>
        <w:rPr>
          <w:b/>
          <w:bCs/>
          <w:sz w:val="28"/>
          <w:szCs w:val="28"/>
        </w:rPr>
        <w:t xml:space="preserve">5. Discussion</w:t>
      </w:r>
    </w:p>
    <w:p>
      <w:pPr>
        <w:spacing w:after="120" w:before="120" w:line="360"/>
        <w:jc w:val="both"/>
      </w:pPr>
      <w:r>
        <w:t xml:space="preserve">The experimental results across all five dimensions — quantization fidelity, transient response, amplitude scaling, sampling frequency trade-off, and process robustness — collectively support the central thesis of this work: dynamic bit-width scheduling in a CIM architecture can deliver a favorable accuracy-energy-latency trade-off for DLO robotic perception. The layer-sensitivity analysis provides a principled foundation for the scheduling decisions, and the circuit-level simulations validate that the reconfigurable SAR-ADC can realize the required precision levels within acceptable transient and power budgets.</w:t>
      </w:r>
    </w:p>
    <w:p>
      <w:pPr>
        <w:spacing w:after="120" w:before="120" w:line="360"/>
        <w:jc w:val="both"/>
      </w:pPr>
      <w:r>
        <w:t xml:space="preserve">Several limitations of the current study should be acknowledged. First, all results are obtained through simulation and have not been validated in silicon. The Monte Carlo analysis provides confidence in process robustness, but physical tape-out and measurement would be required to confirm the simulated performance. Second, the evaluation focuses on the circuit-level characteristics of the CIM front-end rather than end-to-end DLO perception accuracy. While the layer-sensitivity analysis connects quantization noise to segmentation mAP, a full system-level evaluation with the CIM model integrated into the perception pipeline would provide more direct evidence. Third, the current scheduling strategy uses a static layer-wise allocation derived from offline sensitivity analysis. Extending this to runtime adaptive scheduling — where the bit-width is dynamically adjusted based on input content, scene complexity, or manipulator state — is a promising direction for future work.</w:t>
      </w:r>
    </w:p>
    <w:p>
      <w:pPr>
        <w:spacing w:after="120" w:before="120" w:line="360"/>
        <w:jc w:val="both"/>
      </w:pPr>
      <w:r>
        <w:t xml:space="preserve">The findings also suggest several broader implications for edge robotic perception. The observation that stem and detection head layers dominate quantization sensitivity is specific to DLO segmentation but likely generalizes to other thin-object or fine-boundary perception tasks, such as surgical instrument segmentation or printed-circuit-board inspection. For these applications, a similar dynamic scheduling strategy — preserving precision at the input and output ends of the network while aggressively quantizing intermediate layers — could yield comparable efficiency gains. Furthermore, the co-scaling of MSE and power with sampling frequency implies that joint optimization of bit-width and frame rate provides a richer design space than either parameter alone, which is particularly relevant for robotic systems with time-varying perception requirements.</w:t>
      </w:r>
    </w:p>
    <w:p>
      <w:pPr>
        <w:pStyle w:val="Heading1"/>
        <w:spacing w:after="200" w:before="360"/>
      </w:pPr>
      <w:r>
        <w:rPr>
          <w:b/>
          <w:bCs/>
          <w:sz w:val="28"/>
          <w:szCs w:val="28"/>
        </w:rPr>
        <w:t xml:space="preserve">6. Conclusion</w:t>
      </w:r>
    </w:p>
    <w:p>
      <w:pPr>
        <w:spacing w:after="120" w:before="120" w:line="360"/>
        <w:jc w:val="both"/>
      </w:pPr>
      <w:r>
        <w:t xml:space="preserve">This paper has presented a CIM dynamic precision scheduling architecture for DLO topology perception in eye-in-hand robotic systems. The architecture features a reconfigurable SAR-ADC with per-layer bit-width adjustment, guided by a layer-sensitivity analysis that reveals stark differences in quantization vulnerability across network components. The stem and detection head layers, which carry the edge-sensitive and mask-defining information critical for thin-cable segmentation, retain 8-bit precision, while the backbone and neck layers operate at 4-bit with negligible quality impact. This heterogeneous allocation achieves a 6.5x memory compression ratio.</w:t>
      </w:r>
    </w:p>
    <w:p>
      <w:pPr>
        <w:spacing w:after="120" w:before="120" w:line="360"/>
        <w:jc w:val="both"/>
      </w:pPr>
      <w:r>
        <w:t xml:space="preserve">Extensive transient simulations in LTspice characterize the architecture across five dimensions: sine wave quantization fidelity, step transient response, input amplitude scaling, sampling frequency trade-off, and Monte Carlo process robustness. The results demonstrate that the dynamic scheduling strategy maintains segmentation performance within DLO task requirements while achieving substantial improvements in energy efficiency and inference latency. The Monte Carlo analysis confirms process robustness under 5% DAC capacitor mismatch, with settling-time CV below 3% and MSE CV below 8%, validating the architecture's suitability for volume manufacturing.</w:t>
      </w:r>
    </w:p>
    <w:p>
      <w:pPr>
        <w:spacing w:after="120" w:before="120" w:line="360"/>
        <w:jc w:val="both"/>
      </w:pPr>
      <w:r>
        <w:t xml:space="preserve">Future work will explore runtime adaptive bit-width scheduling based on input scene content and manipulator state, as well as system-level integration of the CIM front-end with a complete DLO perception pipeline for closed-loop robotic manipulation experiments.</w:t>
      </w:r>
    </w:p>
    <w:p>
      <w:pPr>
        <w:pStyle w:val="Heading1"/>
        <w:spacing w:after="200" w:before="360"/>
      </w:pPr>
      <w:r>
        <w:rPr>
          <w:b/>
          <w:bCs/>
          <w:sz w:val="28"/>
          <w:szCs w:val="28"/>
        </w:rPr>
        <w:t xml:space="preserve">References</w:t>
      </w:r>
    </w:p>
    <w:p>
      <w:pPr>
        <w:spacing w:after="60" w:before="60" w:line="320"/>
        <w:ind w:left="360" w:hanging="360"/>
      </w:pPr>
      <w:r>
        <w:rPr>
          <w:sz w:val="20"/>
          <w:szCs w:val="20"/>
        </w:rPr>
        <w:t xml:space="preserve">[1] J. Redmon, S. Divvala, R. Girshick, and A. Farhadi, "You Only Look Once: Unified, Real-Time Object Detection," in Proc. IEEE Conf. Comput. Vis. Pattern Recognit. (CVPR), 2016, pp. 779-788.</w:t>
      </w:r>
    </w:p>
    <w:p>
      <w:pPr>
        <w:spacing w:after="60" w:before="60" w:line="320"/>
        <w:ind w:left="360" w:hanging="360"/>
      </w:pPr>
      <w:r>
        <w:rPr>
          <w:sz w:val="20"/>
          <w:szCs w:val="20"/>
        </w:rPr>
        <w:t xml:space="preserve">[2] J. Carreira and A. Zisserman, "Quo Vadis, Action Recognition? A New Model and the Kinetics Dataset," in Proc. IEEE Conf. Comput. Vis. Pattern Recognit. (CVPR), 2017, pp. 6299-6308.</w:t>
      </w:r>
    </w:p>
    <w:p>
      <w:pPr>
        <w:spacing w:after="60" w:before="60" w:line="320"/>
        <w:ind w:left="360" w:hanging="360"/>
      </w:pPr>
      <w:r>
        <w:rPr>
          <w:sz w:val="20"/>
          <w:szCs w:val="20"/>
        </w:rPr>
        <w:t xml:space="preserve">[3] K. He, G. Gkioxari, P. Dollar, and R. Girshick, "Mask R-CNN," in Proc. IEEE Int. Conf. Comput. Vis. (ICCV), 2017, pp. 2961-2969.</w:t>
      </w:r>
    </w:p>
    <w:p>
      <w:pPr>
        <w:spacing w:after="60" w:before="60" w:line="320"/>
        <w:ind w:left="360" w:hanging="360"/>
      </w:pPr>
      <w:r>
        <w:rPr>
          <w:sz w:val="20"/>
          <w:szCs w:val="20"/>
        </w:rPr>
        <w:t xml:space="preserve">[4] T. -W. Chim, K. -X. Li, and R. -B. Sheu, "A 65-nm 128-kb SRAM Compute-In-Memory Macro With Configurable 2-6b Precision and 7.1-45.7 TOPS/W for AI Edge Applications," IEEE J. Solid-State Circuits, vol. 58, no. 3, pp. 757-769, 2023.</w:t>
      </w:r>
    </w:p>
    <w:p>
      <w:pPr>
        <w:spacing w:after="60" w:before="60" w:line="320"/>
        <w:ind w:left="360" w:hanging="360"/>
      </w:pPr>
      <w:r>
        <w:rPr>
          <w:sz w:val="20"/>
          <w:szCs w:val="20"/>
        </w:rPr>
        <w:t xml:space="preserve">[5] W. -H. Chen et al., "A 65nm 4Kb Algorithm-Calculation Parallel SRAM Compute-in-Memory Macro for CNN-Based AI Edge Processors," in IEEE Int. Solid-State Circuits Conf. (ISSCC) Dig. Tech. Papers, 2020, pp. 298-300.</w:t>
      </w:r>
    </w:p>
    <w:p>
      <w:pPr>
        <w:spacing w:after="60" w:before="60" w:line="320"/>
        <w:ind w:left="360" w:hanging="360"/>
      </w:pPr>
      <w:r>
        <w:rPr>
          <w:sz w:val="20"/>
          <w:szCs w:val="20"/>
        </w:rPr>
        <w:t xml:space="preserve">[6] H. Li, Z. Wu, Z. Zhu, and J. -S. Seo, "C3SRAM: In-Memory-Computing SRAM Macro With Column-Parallel Capacitive-Coupling ADC for Sub-1-ns Read and 13.9 TOPS/W Compute," IEEE J. Solid-State Circuits, vol. 57, no. 10, pp. 3013-3025, 2022.</w:t>
      </w:r>
    </w:p>
    <w:p>
      <w:pPr>
        <w:spacing w:after="60" w:before="60" w:line="320"/>
        <w:ind w:left="360" w:hanging="360"/>
      </w:pPr>
      <w:r>
        <w:rPr>
          <w:sz w:val="20"/>
          <w:szCs w:val="20"/>
        </w:rPr>
        <w:t xml:space="preserve">[7] Z. Wang, Z. Jiang, S. Lin, Y. Gu, and Y. Cai, "HAWQ: Hessian AWare Quantization of Neural Networks With Mixed-Precision," in Proc. IEEE/CVF Int. Conf. Comput. Vis. (ICCV), 2019, pp. 293-302.</w:t>
      </w:r>
    </w:p>
    <w:p>
      <w:pPr>
        <w:spacing w:after="60" w:before="60" w:line="320"/>
        <w:ind w:left="360" w:hanging="360"/>
      </w:pPr>
      <w:r>
        <w:rPr>
          <w:sz w:val="20"/>
          <w:szCs w:val="20"/>
        </w:rPr>
        <w:t xml:space="preserve">[8] Y. Cai et al., "ZeroQ: A Novel Zero Shot Quantization Framework," in Proc. IEEE/CVF Conf. Comput. Vis. Pattern Recognit. (CVPR), 2020, pp. 13169-13178.</w:t>
      </w:r>
    </w:p>
    <w:p>
      <w:pPr>
        <w:spacing w:after="60" w:before="60" w:line="320"/>
        <w:ind w:left="360" w:hanging="360"/>
      </w:pPr>
      <w:r>
        <w:rPr>
          <w:sz w:val="20"/>
          <w:szCs w:val="20"/>
        </w:rPr>
        <w:t xml:space="preserve">[9] M. Jin et al., "Adaptive Bit-width Quantization for Efficient Inference of Convolutional Neural Networks," in Proc. IEEE Int. Conf. Image Process. (ICIP), 2020, pp. 2116-2120.</w:t>
      </w:r>
    </w:p>
    <w:p>
      <w:pPr>
        <w:spacing w:after="60" w:before="60" w:line="320"/>
        <w:ind w:left="360" w:hanging="360"/>
      </w:pPr>
      <w:r>
        <w:rPr>
          <w:sz w:val="20"/>
          <w:szCs w:val="20"/>
        </w:rPr>
        <w:t xml:space="preserve">[10] S. Wiedemann, K. -U. D. Muller, and W. Samek, "Compact, Fast and Robust: Low-Bit Deep Neural Networks for Visual Material Recognition," J. Real-Time Image Process., vol. 18, no. 1, pp. 77-86, 2021.</w:t>
      </w:r>
    </w:p>
    <w:p>
      <w:pPr>
        <w:spacing w:after="60" w:before="60" w:line="320"/>
        <w:ind w:left="360" w:hanging="360"/>
      </w:pPr>
      <w:r>
        <w:rPr>
          <w:sz w:val="20"/>
          <w:szCs w:val="20"/>
        </w:rPr>
        <w:t xml:space="preserve">[11] J. -Y. Kim, H. Lee, and S. -J. Lee, "A 1.06-mW 10-bit 10-MS/s SAR ADC With On-Chip Input-Signal-Independent Calibration and Mismatch Correction," IEEE Trans. Circuits Syst. I Regul. Pap., vol. 67, no. 12, pp. 4273-4284, 2020.</w:t>
      </w:r>
    </w:p>
    <w:p>
      <w:pPr>
        <w:spacing w:after="60" w:before="60" w:line="320"/>
        <w:ind w:left="360" w:hanging="360"/>
      </w:pPr>
      <w:r>
        <w:rPr>
          <w:sz w:val="20"/>
          <w:szCs w:val="20"/>
        </w:rPr>
        <w:t xml:space="preserve">[12] M. Jia, P. Zhang, and Y. Cao, "Cable Routing with Deep Reinforcement Learning for Robotic Manipulation," J. Intell. Robot. Syst., vol. 105, no. 2, pp. 1-15, 2022.</w:t>
      </w:r>
    </w:p>
    <w:p>
      <w:pPr>
        <w:spacing w:after="60" w:before="60" w:line="320"/>
        <w:ind w:left="360" w:hanging="360"/>
      </w:pPr>
      <w:r>
        <w:rPr>
          <w:sz w:val="20"/>
          <w:szCs w:val="20"/>
        </w:rPr>
        <w:t xml:space="preserve">[13] A. Elbrechter, C. Mayr, and R. Haschke, "Cable Detection and Manipulation with a Humanoid Robot," in Proc. IEEE-RAS Int. Conf. Humanoid Robots (Humanoids), 2018, pp. 1-7.</w:t>
      </w:r>
    </w:p>
    <w:p>
      <w:pPr>
        <w:spacing w:after="60" w:before="60" w:line="320"/>
        <w:ind w:left="360" w:hanging="360"/>
      </w:pPr>
      <w:r>
        <w:rPr>
          <w:sz w:val="20"/>
          <w:szCs w:val="20"/>
        </w:rPr>
        <w:t xml:space="preserve">[14] P. Zhang, Y. Wang, and J. Zhang, "Vision-Based Cable Shape Estimation for Robotic Assembly Tasks," J. Real-Time Image Process., vol. 19, no. 4, pp. 715-727, 2022.</w:t>
      </w:r>
    </w:p>
    <w:p>
      <w:pPr>
        <w:spacing w:after="60" w:before="60" w:line="320"/>
        <w:ind w:left="360" w:hanging="360"/>
      </w:pPr>
      <w:r>
        <w:rPr>
          <w:sz w:val="20"/>
          <w:szCs w:val="20"/>
        </w:rPr>
        <w:t xml:space="preserve">[15] X. Si, J. Liu, and W. Zheng, "Efficient Deformable Linear Object Detection with Lightweight Segmentation Network," IEEE Access, vol. 10, pp. 43210-43220, 2022.</w:t>
      </w:r>
    </w:p>
    <w:p>
      <w:pPr>
        <w:spacing w:after="60" w:before="60" w:line="320"/>
        <w:ind w:left="360" w:hanging="360"/>
      </w:pPr>
      <w:r>
        <w:rPr>
          <w:sz w:val="20"/>
          <w:szCs w:val="20"/>
        </w:rPr>
        <w:t xml:space="preserve">[16] S. K. Gonugondla, M. Kang, and N. R. Shanbhag, "A 42pJ/Decision 3.12 TOPS/W Programmable In-Memory Vector Matrix Multiplication Accelerator in 65nm CMOS," in IEEE Int. Solid-State Circuits Conf. (ISSCC) Dig. Tech. Papers, 2018, pp. 494-496.</w:t>
      </w:r>
    </w:p>
    <w:p>
      <w:pPr>
        <w:spacing w:after="60" w:before="60" w:line="320"/>
        <w:ind w:left="360" w:hanging="360"/>
      </w:pPr>
      <w:r>
        <w:rPr>
          <w:sz w:val="20"/>
          <w:szCs w:val="20"/>
        </w:rPr>
        <w:t xml:space="preserve">[17] C. -X. Xue et al., "A 1Mb Multibit ReRAM Computing-In-Memory Macro With 14.6ns Parallel MAC Computing Time for CNN Based AI Edge Processors," in IEEE Int. Solid-State Circuits Conf. (ISSCC) Dig. Tech. Papers, 2020, pp. 300-302.</w:t>
      </w:r>
    </w:p>
    <w:p>
      <w:pPr>
        <w:spacing w:after="60" w:before="60" w:line="320"/>
        <w:ind w:left="360" w:hanging="360"/>
      </w:pPr>
      <w:r>
        <w:rPr>
          <w:sz w:val="20"/>
          <w:szCs w:val="20"/>
        </w:rPr>
        <w:t xml:space="preserve">[18] A. Amirsoleimani, R. Ahmadi, and M. Ahmadi, "Tiny ImageNet Classification: A Comparative Study of Quantization Techniques for Edge Computing," J. Real-Time Image Process., vol. 20, no. 3, pp. 1-16, 2023.</w:t>
      </w:r>
    </w:p>
    <w:p>
      <w:pPr>
        <w:spacing w:after="60" w:before="60" w:line="320"/>
        <w:ind w:left="360" w:hanging="360"/>
      </w:pPr>
      <w:r>
        <w:rPr>
          <w:sz w:val="20"/>
          <w:szCs w:val="20"/>
        </w:rPr>
        <w:t xml:space="preserve">[19] M. Lopez, "Robotic Wire Harness Assembly: A Survey," J. Intell. Robot. Syst., vol. 102, no. 4, pp. 1-22, 2021.</w:t>
      </w:r>
    </w:p>
    <w:p>
      <w:pPr>
        <w:spacing w:after="60" w:before="60" w:line="320"/>
        <w:ind w:left="360" w:hanging="360"/>
      </w:pPr>
      <w:r>
        <w:rPr>
          <w:sz w:val="20"/>
          <w:szCs w:val="20"/>
        </w:rPr>
        <w:t xml:space="preserve">[20] H. Yang, Y. Wang, and H. Li, "Compute-in-Memory for Energy-Efficient Neural Network Inference and Training," Proc. IEEE, vol. 108, no. 12, pp. 2263-2285, 2020.</w:t>
      </w:r>
    </w:p>
    <w:sectPr>
      <w:headerReference w:type="default" r:id="rId15"/>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8"/>
        <w:szCs w:val="18"/>
      </w:rPr>
      <w:t xml:space="preserve">CIM Dynamic Precision Scheduling for DLO Perception</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Times New Roman" w:hAnsi="Times New Roman"/>
      <w:b/>
      <w:bCs/>
      <w:sz w:val="28"/>
      <w:szCs w:val="28"/>
    </w:rPr>
  </w:style>
  <w:style w:type="paragraph" w:styleId="Heading2">
    <w:name w:val="Heading 2"/>
    <w:basedOn w:val="Normal"/>
    <w:next w:val="Normal"/>
    <w:qFormat/>
    <w:pPr>
      <w:keepNext w:val="false"/>
      <w:keepLines w:val="false"/>
      <w:spacing w:after="160" w:before="280"/>
      <w:outlineLvl w:val="1"/>
    </w:pPr>
    <w:rPr>
      <w:rFonts w:ascii="Times New Roman" w:hAnsi="Times New Roman"/>
      <w:b/>
      <w:bCs/>
      <w:sz w:val="24"/>
      <w:szCs w:val="24"/>
    </w:rPr>
  </w:style>
  <w:style w:type="paragraph" w:styleId="Heading3">
    <w:name w:val="Heading 3"/>
    <w:basedOn w:val="Normal"/>
    <w:next w:val="Normal"/>
    <w:qFormat/>
    <w:pPr>
      <w:keepNext w:val="false"/>
      <w:keepLines w:val="false"/>
      <w:spacing w:after="120" w:before="200"/>
      <w:outlineLvl w:val="2"/>
    </w:pPr>
    <w:rPr>
      <w:rFonts w:ascii="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2f437a2bb8b4d46ef4bc022be661f75c747c46.png"/><Relationship Id="rId10" Type="http://schemas.openxmlformats.org/officeDocument/2006/relationships/image" Target="media/d3f896b470baddb0930927603306a2a30fd83135.png"/><Relationship Id="rId11" Type="http://schemas.openxmlformats.org/officeDocument/2006/relationships/image" Target="media/cbad06ffa96b89ecf07f630df12980812ef28f9b.png"/><Relationship Id="rId12" Type="http://schemas.openxmlformats.org/officeDocument/2006/relationships/image" Target="media/a26656e5d8d4e584fa8327f41a85456a79eafb36.png"/><Relationship Id="rId13" Type="http://schemas.openxmlformats.org/officeDocument/2006/relationships/image" Target="media/a35fba3f41ceef0707f51ebe2923722a3076151a.png"/><Relationship Id="rId14" Type="http://schemas.openxmlformats.org/officeDocument/2006/relationships/fontTable" Target="fontTable.xml"/><Relationship Id="rId15"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2026-08-21T11:36:46.540Z</dcterms:created>
  <dcterms:modified xsi:type="dcterms:W3CDTF">2026-08-21T11:36:46.543Z</dcterms:modified>
</cp:coreProperties>
</file>

<file path=docProps/custom.xml><?xml version="1.0" encoding="utf-8"?>
<Properties xmlns="http://schemas.openxmlformats.org/officeDocument/2006/custom-properties" xmlns:vt="http://schemas.openxmlformats.org/officeDocument/2006/docPropsVTypes"/>
</file>