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Airand — Business Requirements Document (BRD)</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1922"/>
        <w:gridCol w:w="7437"/>
      </w:tblGrid>
      <w:tr>
        <w:trPr>
          <w:tblHeader/>
        </w:trPr>
        <w:tc>
          <w:tcPr>
            <w:tcW w:w="1922" w:type="dxa"/>
            <w:shd w:val="clear" w:color="auto" w:fill="F2F2F2"/>
          </w:tcPr>
          <w:p>
            <w:pPr/>
            <w:r>
              <w:t xml:space="preserve">Item</w:t>
            </w:r>
          </w:p>
        </w:tc>
        <w:tc>
          <w:tcPr>
            <w:tcW w:w="7437" w:type="dxa"/>
            <w:shd w:val="clear" w:color="auto" w:fill="F2F2F2"/>
          </w:tcPr>
          <w:p>
            <w:pPr/>
            <w:r>
              <w:t xml:space="preserve">Detail</w:t>
            </w:r>
          </w:p>
        </w:tc>
      </w:tr>
      <w:tr>
        <w:tc>
          <w:tcPr>
            <w:tcW w:w="1922" w:type="dxa"/>
          </w:tcPr>
          <w:p>
            <w:pPr/>
            <w:r>
              <w:t xml:space="preserve">Document</w:t>
            </w:r>
          </w:p>
        </w:tc>
        <w:tc>
          <w:tcPr>
            <w:tcW w:w="7437" w:type="dxa"/>
          </w:tcPr>
          <w:p>
            <w:pPr/>
            <w:r>
              <w:t xml:space="preserve">Business Requirements Document — Airand zone-based food delivery</w:t>
            </w:r>
          </w:p>
        </w:tc>
      </w:tr>
      <w:tr>
        <w:tc>
          <w:tcPr>
            <w:tcW w:w="1922" w:type="dxa"/>
          </w:tcPr>
          <w:p>
            <w:pPr/>
            <w:r>
              <w:t xml:space="preserve">Version</w:t>
            </w:r>
          </w:p>
        </w:tc>
        <w:tc>
          <w:tcPr>
            <w:tcW w:w="7437" w:type="dxa"/>
          </w:tcPr>
          <w:p>
            <w:pPr/>
            <w:r>
              <w:t xml:space="preserve">1.0 draft</w:t>
            </w:r>
          </w:p>
        </w:tc>
      </w:tr>
      <w:tr>
        <w:tc>
          <w:tcPr>
            <w:tcW w:w="1922" w:type="dxa"/>
          </w:tcPr>
          <w:p>
            <w:pPr/>
            <w:r>
              <w:t xml:space="preserve">Author</w:t>
            </w:r>
          </w:p>
        </w:tc>
        <w:tc>
          <w:tcPr>
            <w:tcW w:w="7437" w:type="dxa"/>
          </w:tcPr>
          <w:p>
            <w:pPr/>
            <w:r>
              <w:t xml:space="preserve">Business Analyst (portfolio project)</w:t>
            </w:r>
          </w:p>
        </w:tc>
      </w:tr>
    </w:tbl>
    <w:p>
      <w:pPr/>
      <w:r>
        <w:rPr>
          <w:b/>
        </w:rPr>
        <w:t xml:space="preserve">Version history</w:t>
      </w:r>
    </w:p>
    <w:tbl>
      <w:tblPr>
        <w:tblStyle w:val="TableGrid"/>
        <w:tblW w:w="0" w:type="auto"/>
        <w:tblLayout w:type="fixed"/>
        <w:tblLook w:val="04A0" w:firstRow="1" w:lastRow="0" w:firstColumn="0" w:lastColumn="0" w:noHBand="0" w:noVBand="1"/>
      </w:tblPr>
      <w:tblGrid>
        <w:gridCol w:w="1406"/>
        <w:gridCol w:w="1706"/>
        <w:gridCol w:w="6246"/>
      </w:tblGrid>
      <w:tr>
        <w:trPr>
          <w:tblHeader/>
        </w:trPr>
        <w:tc>
          <w:tcPr>
            <w:tcW w:w="1406" w:type="dxa"/>
            <w:shd w:val="clear" w:color="auto" w:fill="F2F2F2"/>
          </w:tcPr>
          <w:p>
            <w:pPr/>
            <w:r>
              <w:t xml:space="preserve">Version</w:t>
            </w:r>
          </w:p>
        </w:tc>
        <w:tc>
          <w:tcPr>
            <w:tcW w:w="1706" w:type="dxa"/>
            <w:shd w:val="clear" w:color="auto" w:fill="F2F2F2"/>
          </w:tcPr>
          <w:p>
            <w:pPr/>
            <w:r>
              <w:t xml:space="preserve">Date</w:t>
            </w:r>
          </w:p>
        </w:tc>
        <w:tc>
          <w:tcPr>
            <w:tcW w:w="6246" w:type="dxa"/>
            <w:shd w:val="clear" w:color="auto" w:fill="F2F2F2"/>
          </w:tcPr>
          <w:p>
            <w:pPr/>
            <w:r>
              <w:t xml:space="preserve">Change</w:t>
            </w:r>
          </w:p>
        </w:tc>
      </w:tr>
      <w:tr>
        <w:tc>
          <w:tcPr>
            <w:tcW w:w="1406" w:type="dxa"/>
          </w:tcPr>
          <w:p>
            <w:pPr/>
            <w:r>
              <w:t xml:space="preserve">0.1</w:t>
            </w:r>
          </w:p>
        </w:tc>
        <w:tc>
          <w:tcPr>
            <w:tcW w:w="1706" w:type="dxa"/>
          </w:tcPr>
          <w:p>
            <w:pPr/>
            <w:r>
              <w:t xml:space="preserve">5 Oct 2026</w:t>
            </w:r>
          </w:p>
        </w:tc>
        <w:tc>
          <w:tcPr>
            <w:tcW w:w="6246" w:type="dxa"/>
          </w:tcPr>
          <w:p>
            <w:pPr/>
            <w:r>
              <w:t xml:space="preserve">Phases 1–3 inputs consolidated</w:t>
            </w:r>
          </w:p>
        </w:tc>
      </w:tr>
      <w:tr>
        <w:tc>
          <w:tcPr>
            <w:tcW w:w="1406" w:type="dxa"/>
          </w:tcPr>
          <w:p>
            <w:pPr/>
            <w:r>
              <w:t xml:space="preserve">1.0 draft</w:t>
            </w:r>
          </w:p>
        </w:tc>
        <w:tc>
          <w:tcPr>
            <w:tcW w:w="1706" w:type="dxa"/>
          </w:tcPr>
          <w:p>
            <w:pPr/>
            <w:r>
              <w:t xml:space="preserve">6 Oct 2026</w:t>
            </w:r>
          </w:p>
        </w:tc>
        <w:tc>
          <w:tcPr>
            <w:tcW w:w="6246" w:type="dxa"/>
          </w:tcPr>
          <w:p>
            <w:pPr/>
            <w:r>
              <w:t xml:space="preserve">Gap analysis, business requirements and business rules added; sponsor decisions on assignment, payment and tracking incorporated. Rev 1.1 same day: fee paid to Airand at request and held until completion; cyclist earning credited only on completion (RUL-02); tiered refunds with 20% cancellation fee after assignment (RUL-04, RUL-05); vendor delay detected by the system (RUL-17). Rev 1.2, 6 Oct 2026: package scope (BR-23, RUL-24); dispatcher renamed system admin (Chinedu); receiver view limited to pickup and arrival (BR-14)</w:t>
            </w:r>
          </w:p>
        </w:tc>
      </w:tr>
    </w:tbl>
    <w:p>
      <w:pPr/>
      <w:r>
        <w:rPr>
          <w:b/>
        </w:rPr>
        <w:t xml:space="preserve">Related documents</w:t>
      </w:r>
    </w:p>
    <w:tbl>
      <w:tblPr>
        <w:tblStyle w:val="TableGrid"/>
        <w:tblW w:w="0" w:type="auto"/>
        <w:tblLayout w:type="fixed"/>
        <w:tblLook w:val="04A0" w:firstRow="1" w:lastRow="0" w:firstColumn="0" w:lastColumn="0" w:noHBand="0" w:noVBand="1"/>
      </w:tblPr>
      <w:tblGrid>
        <w:gridCol w:w="3908"/>
        <w:gridCol w:w="869"/>
        <w:gridCol w:w="4582"/>
      </w:tblGrid>
      <w:tr>
        <w:trPr>
          <w:tblHeader/>
        </w:trPr>
        <w:tc>
          <w:tcPr>
            <w:tcW w:w="3908" w:type="dxa"/>
            <w:shd w:val="clear" w:color="auto" w:fill="F2F2F2"/>
          </w:tcPr>
          <w:p>
            <w:pPr/>
            <w:r>
              <w:t xml:space="preserve">Document</w:t>
            </w:r>
          </w:p>
        </w:tc>
        <w:tc>
          <w:tcPr>
            <w:tcW w:w="869" w:type="dxa"/>
            <w:shd w:val="clear" w:color="auto" w:fill="F2F2F2"/>
          </w:tcPr>
          <w:p>
            <w:pPr/>
            <w:r>
              <w:t xml:space="preserve">Phase</w:t>
            </w:r>
          </w:p>
        </w:tc>
        <w:tc>
          <w:tcPr>
            <w:tcW w:w="4582" w:type="dxa"/>
            <w:shd w:val="clear" w:color="auto" w:fill="F2F2F2"/>
          </w:tcPr>
          <w:p>
            <w:pPr/>
            <w:r>
              <w:t xml:space="preserve">Role</w:t>
            </w:r>
          </w:p>
        </w:tc>
      </w:tr>
      <w:tr>
        <w:tc>
          <w:tcPr>
            <w:tcW w:w="3908" w:type="dxa"/>
          </w:tcPr>
          <w:p>
            <w:pPr/>
            <w:r>
              <w:t xml:space="preserve">Airand — Business Understanding Document</w:t>
            </w:r>
          </w:p>
        </w:tc>
        <w:tc>
          <w:tcPr>
            <w:tcW w:w="869" w:type="dxa"/>
          </w:tcPr>
          <w:p>
            <w:pPr/>
            <w:r>
              <w:t xml:space="preserve">1</w:t>
            </w:r>
          </w:p>
        </w:tc>
        <w:tc>
          <w:tcPr>
            <w:tcW w:w="4582" w:type="dxa"/>
          </w:tcPr>
          <w:p>
            <w:pPr/>
            <w:r>
              <w:t xml:space="preserve">Background, problem statement, assumptions register</w:t>
            </w:r>
          </w:p>
        </w:tc>
      </w:tr>
      <w:tr>
        <w:tc>
          <w:tcPr>
            <w:tcW w:w="3908" w:type="dxa"/>
          </w:tcPr>
          <w:p>
            <w:pPr/>
            <w:r>
              <w:t xml:space="preserve">Airand — Market &amp; Competitor Research</w:t>
            </w:r>
          </w:p>
        </w:tc>
        <w:tc>
          <w:tcPr>
            <w:tcW w:w="869" w:type="dxa"/>
          </w:tcPr>
          <w:p>
            <w:pPr/>
            <w:r>
              <w:t xml:space="preserve">2</w:t>
            </w:r>
          </w:p>
        </w:tc>
        <w:tc>
          <w:tcPr>
            <w:tcW w:w="4582" w:type="dxa"/>
          </w:tcPr>
          <w:p>
            <w:pPr/>
            <w:r>
              <w:t xml:space="preserve">Competitive context, pricing target, regulation</w:t>
            </w:r>
          </w:p>
        </w:tc>
      </w:tr>
      <w:tr>
        <w:tc>
          <w:tcPr>
            <w:tcW w:w="3908" w:type="dxa"/>
          </w:tcPr>
          <w:p>
            <w:pPr/>
            <w:r>
              <w:t xml:space="preserve">Airand_Unit_Economics_Model.xlsx</w:t>
            </w:r>
          </w:p>
        </w:tc>
        <w:tc>
          <w:tcPr>
            <w:tcW w:w="869" w:type="dxa"/>
          </w:tcPr>
          <w:p>
            <w:pPr/>
            <w:r>
              <w:t xml:space="preserve">2</w:t>
            </w:r>
          </w:p>
        </w:tc>
        <w:tc>
          <w:tcPr>
            <w:tcW w:w="4582" w:type="dxa"/>
          </w:tcPr>
          <w:p>
            <w:pPr/>
            <w:r>
              <w:t xml:space="preserve">Break-even and scenario economics</w:t>
            </w:r>
          </w:p>
        </w:tc>
      </w:tr>
      <w:tr>
        <w:tc>
          <w:tcPr>
            <w:tcW w:w="3908" w:type="dxa"/>
          </w:tcPr>
          <w:p>
            <w:pPr/>
            <w:r>
              <w:t xml:space="preserve">Airand — Stakeholder &amp; Current-State Analysis</w:t>
            </w:r>
          </w:p>
        </w:tc>
        <w:tc>
          <w:tcPr>
            <w:tcW w:w="869" w:type="dxa"/>
          </w:tcPr>
          <w:p>
            <w:pPr/>
            <w:r>
              <w:t xml:space="preserve">3</w:t>
            </w:r>
          </w:p>
        </w:tc>
        <w:tc>
          <w:tcPr>
            <w:tcW w:w="4582" w:type="dxa"/>
          </w:tcPr>
          <w:p>
            <w:pPr/>
            <w:r>
              <w:t xml:space="preserve">Stakeholders, AS-IS process, journeys, pain-point log</w:t>
            </w:r>
          </w:p>
        </w:tc>
      </w:tr>
      <w:tr>
        <w:tc>
          <w:tcPr>
            <w:tcW w:w="3908" w:type="dxa"/>
          </w:tcPr>
          <w:p>
            <w:pPr/>
            <w:r>
              <w:t xml:space="preserve">Software Requirements Specification (SRS)</w:t>
            </w:r>
          </w:p>
        </w:tc>
        <w:tc>
          <w:tcPr>
            <w:tcW w:w="869" w:type="dxa"/>
          </w:tcPr>
          <w:p>
            <w:pPr/>
            <w:r>
              <w:t xml:space="preserve">6</w:t>
            </w:r>
          </w:p>
        </w:tc>
        <w:tc>
          <w:tcPr>
            <w:tcW w:w="4582" w:type="dxa"/>
          </w:tcPr>
          <w:p>
            <w:pPr/>
            <w:r>
              <w:t xml:space="preserve">Will derive functional and non-functional requirements from this BRD</w:t>
            </w:r>
          </w:p>
        </w:tc>
      </w:tr>
    </w:tbl>
    <w:p>
      <w:pPr/>
      <w:r>
        <w:rPr>
          <w:b/>
        </w:rPr>
        <w:t xml:space="preserve">About this document:</w:t>
      </w:r>
      <w:r>
        <w:t xml:space="preserve"> Airand is a portfolio case study. Stakeholder interviews and operating data are simulated for demonstration; the Label columns show whether each point comes from a cited source, an assumption, simulated research or a sponsor decision.</w:t>
      </w:r>
    </w:p>
    <w:p>
      <w:pPr>
        <w:pStyle w:val="Heading2"/>
      </w:pPr>
      <w:r>
        <w:t xml:space="preserve">2. Executive summary</w:t>
      </w:r>
    </w:p>
    <w:p>
      <w:pPr/>
      <w:r>
        <w:t xml:space="preserve">Airand needs an operating model and a supporting platform that give small vendors — food vendors first — in one New Owerri zone pre-positioned bicycle package delivery at a fixed, prepaid fee, assigned automatically and recorded end to end. This document states what the business needs to achieve that; the SRS will state what the system must do.</w:t>
      </w:r>
    </w:p>
    <w:p>
      <w:pPr/>
      <w:r>
        <w:t xml:space="preserve">The need arises from four root causes in today's delivery process: no committed capacity at peak, no record of any delivery, no pricing rule, and unstructured address capture. Together they produce the twelve pain points vendors, receivers and riders described, from lost late-night orders to disputes settled by memory. The gap analysis in section 8 closes each root cause with a desired state; section 9 states 23 business requirements traced to those gaps and to the business objectives; section 10 fixes the business rules the sponsor has decided — system assignment, payment before activation, a receiver tracking link.</w:t>
      </w:r>
    </w:p>
    <w:p>
      <w:pPr/>
      <w:r>
        <w:t xml:space="preserve">Viability depends on volume: the unit-economics model breaks even at about 46 deliveries a day in the zone at a ₦900 rate with 10 cyclists. The requirements therefore include sizing cyclist capacity to measured demand and recruiting anchor vendors with 30+ orders a day.</w:t>
      </w:r>
    </w:p>
    <w:p>
      <w:pPr>
        <w:pStyle w:val="Heading2"/>
      </w:pPr>
      <w:r>
        <w:t xml:space="preserve">3. Business background</w:t>
      </w:r>
    </w:p>
    <w:p>
      <w:pPr/>
      <w:r>
        <w:t xml:space="preserve">Airand is a delivery-as-a-service concept for food vendors in New Owerri, Imo State, originated in a 2025 business plan and not yet launched. The original plan stationed one bicycle cyclist outside each partner eatery, tracked orders on paper slips, and billed eateries weekly.</w:t>
      </w:r>
    </w:p>
    <w:p>
      <w:pPr/>
      <w:r>
        <w:t xml:space="preserve">In October 2026 the concept was reframed after research showed the market had changed: Chowdeck entered Owerri in February 2025, Bolt Send in August 2026, and local start-ups GoBuyMe, Karryo and ShabraErrands offer or promise on-demand delivery with upfront pricing (see Market &amp; Competitor Research). The reframed Airand:</w:t>
      </w:r>
    </w:p>
    <w:p>
      <w:pPr>
        <w:pStyle w:val="ListParagraph"/>
        <w:numPr>
          <w:ilvl w:val="0"/>
          <w:numId w:val="2"/>
        </w:numPr>
      </w:pPr>
      <w:r>
        <w:t xml:space="preserve">serves small, mostly unlisted food vendors of any kind (restaurants, bukas, suya spots, kitchens, drinks sellers) in a dense neighbourhood zone;</w:t>
      </w:r>
    </w:p>
    <w:p>
      <w:pPr>
        <w:pStyle w:val="ListParagraph"/>
        <w:numPr>
          <w:ilvl w:val="0"/>
          <w:numId w:val="2"/>
        </w:numPr>
      </w:pPr>
      <w:r>
        <w:t xml:space="preserve">stations a shared pool of cyclists at a zone hub rather than one per vendor;</w:t>
      </w:r>
    </w:p>
    <w:p>
      <w:pPr>
        <w:pStyle w:val="ListParagraph"/>
        <w:numPr>
          <w:ilvl w:val="0"/>
          <w:numId w:val="2"/>
        </w:numPr>
      </w:pPr>
      <w:r>
        <w:t xml:space="preserve">charges a fixed zone rate per delivery to whoever requests it, paid at request time;</w:t>
      </w:r>
    </w:p>
    <w:p>
      <w:pPr>
        <w:pStyle w:val="ListParagraph"/>
        <w:numPr>
          <w:ilvl w:val="0"/>
          <w:numId w:val="2"/>
        </w:numPr>
      </w:pPr>
      <w:r>
        <w:t xml:space="preserve">replaces paper slips with a digital delivery lifecycle and a receiver verification code.</w:t>
      </w:r>
    </w:p>
    <w:p>
      <w:pPr/>
      <w:r>
        <w:t xml:space="preserve">The competitive position that survived research is narrow and operational: nobody else keeps dedicated capacity </w:t>
      </w:r>
      <w:r>
        <w:rPr>
          <w:i/>
        </w:rPr>
        <w:t xml:space="preserve">in the neighbourhood, at a flat price, through the 7–11 PM peak</w:t>
      </w:r>
      <w:r>
        <w:t xml:space="preserve">. One simulated vendor already pays informal riders a daily retainer to do this and gets neither reliability nor records (simulated persona V-6, Phase 3). Airand makes an existing behaviour dependable and visible.</w:t>
      </w:r>
    </w:p>
    <w:p>
      <w:pPr>
        <w:pStyle w:val="Heading2"/>
      </w:pPr>
      <w:r>
        <w:t xml:space="preserve">4. Problem statement</w:t>
      </w:r>
    </w:p>
    <w:p>
      <w:pPr/>
      <w:r>
        <w:t xml:space="preserve">Small food vendors in New Owerri can get </w:t>
      </w:r>
      <w:r>
        <w:rPr>
          <w:i/>
        </w:rPr>
        <w:t xml:space="preserve">a</w:t>
      </w:r>
      <w:r>
        <w:t xml:space="preserve"> rider from several apps, but none offers delivery that is pre-positioned, fixed-price and reliable at the 7–11 PM peak. On-demand couriers send a rider from wherever they are and price each trip by demand; marketplaces take 20–30% of food value and expect formal registration; informal riders are unpredictable in cost, timing and loyalty. For a vendor doing repeated short deliveries from one spot, every option is the wrong shape at exactly the hour demand is highest.</w:t>
      </w:r>
    </w:p>
    <w:p>
      <w:pPr/>
      <w:r>
        <w:rPr>
          <w:b/>
        </w:rPr>
        <w:t xml:space="preserve">Consequences today</w:t>
      </w:r>
      <w:r>
        <w:t xml:space="preserve"> (simulated Phase 3 interviews)</w:t>
      </w:r>
    </w:p>
    <w:p>
      <w:pPr>
        <w:pStyle w:val="ListParagraph"/>
        <w:numPr>
          <w:ilvl w:val="0"/>
          <w:numId w:val="3"/>
        </w:numPr>
      </w:pPr>
      <w:r>
        <w:t xml:space="preserve">Vendors lose late orders when no rider will go, and cannot quote a delivery fee when taking an order</w:t>
      </w:r>
    </w:p>
    <w:p>
      <w:pPr>
        <w:pStyle w:val="ListParagraph"/>
        <w:numPr>
          <w:ilvl w:val="0"/>
          <w:numId w:val="3"/>
        </w:numPr>
      </w:pPr>
      <w:r>
        <w:t xml:space="preserve">Food waits a median 18 minutes after it is ready for a rider to arrive</w:t>
      </w:r>
    </w:p>
    <w:p>
      <w:pPr>
        <w:pStyle w:val="ListParagraph"/>
        <w:numPr>
          <w:ilvl w:val="0"/>
          <w:numId w:val="3"/>
        </w:numPr>
      </w:pPr>
      <w:r>
        <w:t xml:space="preserve">Receivers pay a fee they did not know, call the vendor for updates, and sometimes get cold food or the wrong order</w:t>
      </w:r>
    </w:p>
    <w:p>
      <w:pPr>
        <w:pStyle w:val="ListParagraph"/>
        <w:numPr>
          <w:ilvl w:val="0"/>
          <w:numId w:val="3"/>
        </w:numPr>
      </w:pPr>
      <w:r>
        <w:t xml:space="preserve">Nobody has a record: disputes, costs and performance are matters of memory</w:t>
      </w:r>
    </w:p>
    <w:p>
      <w:pPr/>
      <w:r>
        <w:rPr>
          <w:b/>
        </w:rPr>
        <w:t xml:space="preserve">Problem owner:</w:t>
      </w:r>
      <w:r>
        <w:t xml:space="preserve"> the founder. </w:t>
      </w:r>
      <w:r>
        <w:rPr>
          <w:b/>
        </w:rPr>
        <w:t xml:space="preserve">Affected:</w:t>
      </w:r>
      <w:r>
        <w:t xml:space="preserve"> vendors (S-01), receivers (S-02), riders/cyclists (S-03).</w:t>
      </w:r>
    </w:p>
    <w:p>
      <w:pPr>
        <w:pStyle w:val="Heading2"/>
      </w:pPr>
      <w:r>
        <w:t xml:space="preserve">5. Business objectives and success criteria</w:t>
      </w:r>
    </w:p>
    <w:p>
      <w:pPr/>
      <w:r>
        <w:t xml:space="preserve">Six objectives, each with a measurable pilot criterion. Targets marked Source come from the original plan; Assumption targets come from the economics model or analyst judgement and should be confirmed with the sponsor.</w:t>
      </w:r>
    </w:p>
    <w:tbl>
      <w:tblPr>
        <w:tblStyle w:val="TableGrid"/>
        <w:tblW w:w="0" w:type="auto"/>
        <w:tblLayout w:type="fixed"/>
        <w:tblLook w:val="04A0" w:firstRow="1" w:lastRow="0" w:firstColumn="0" w:lastColumn="0" w:noHBand="0" w:noVBand="1"/>
      </w:tblPr>
      <w:tblGrid>
        <w:gridCol w:w="947"/>
        <w:gridCol w:w="1946"/>
        <w:gridCol w:w="4920"/>
        <w:gridCol w:w="1547"/>
      </w:tblGrid>
      <w:tr>
        <w:trPr>
          <w:tblHeader/>
        </w:trPr>
        <w:tc>
          <w:tcPr>
            <w:tcW w:w="947" w:type="dxa"/>
            <w:shd w:val="clear" w:color="auto" w:fill="F2F2F2"/>
          </w:tcPr>
          <w:p>
            <w:pPr/>
            <w:r>
              <w:t xml:space="preserve">ID</w:t>
            </w:r>
          </w:p>
        </w:tc>
        <w:tc>
          <w:tcPr>
            <w:tcW w:w="1946" w:type="dxa"/>
            <w:shd w:val="clear" w:color="auto" w:fill="F2F2F2"/>
          </w:tcPr>
          <w:p>
            <w:pPr/>
            <w:r>
              <w:t xml:space="preserve">Objective</w:t>
            </w:r>
          </w:p>
        </w:tc>
        <w:tc>
          <w:tcPr>
            <w:tcW w:w="4920" w:type="dxa"/>
            <w:shd w:val="clear" w:color="auto" w:fill="F2F2F2"/>
          </w:tcPr>
          <w:p>
            <w:pPr/>
            <w:r>
              <w:t xml:space="preserve">Success criterion (end of 3-month pilot)</w:t>
            </w:r>
          </w:p>
        </w:tc>
        <w:tc>
          <w:tcPr>
            <w:tcW w:w="1547" w:type="dxa"/>
            <w:shd w:val="clear" w:color="auto" w:fill="F2F2F2"/>
          </w:tcPr>
          <w:p>
            <w:pPr/>
            <w:r>
              <w:t xml:space="preserve">Label</w:t>
            </w:r>
          </w:p>
        </w:tc>
      </w:tr>
      <w:tr>
        <w:tc>
          <w:tcPr>
            <w:tcW w:w="947" w:type="dxa"/>
          </w:tcPr>
          <w:p>
            <w:pPr/>
            <w:r>
              <w:t xml:space="preserve">OBJ-01</w:t>
            </w:r>
          </w:p>
        </w:tc>
        <w:tc>
          <w:tcPr>
            <w:tcW w:w="1946" w:type="dxa"/>
          </w:tcPr>
          <w:p>
            <w:pPr/>
            <w:r>
              <w:t xml:space="preserve">Deliver reliably at peak</w:t>
            </w:r>
          </w:p>
        </w:tc>
        <w:tc>
          <w:tcPr>
            <w:tcW w:w="4920" w:type="dxa"/>
          </w:tcPr>
          <w:p>
            <w:pPr/>
            <w:r>
              <w:t xml:space="preserve">≥ 95% of requests between 7 and 11 PM assigned a cyclist within 2 minutes; ≥ 90% picked up within 5 minutes of vendor marking food ready</w:t>
            </w:r>
          </w:p>
        </w:tc>
        <w:tc>
          <w:tcPr>
            <w:tcW w:w="1547" w:type="dxa"/>
          </w:tcPr>
          <w:p>
            <w:pPr/>
            <w:r>
              <w:t xml:space="preserve">Assumption</w:t>
            </w:r>
          </w:p>
        </w:tc>
      </w:tr>
      <w:tr>
        <w:tc>
          <w:tcPr>
            <w:tcW w:w="947" w:type="dxa"/>
          </w:tcPr>
          <w:p>
            <w:pPr/>
            <w:r>
              <w:t xml:space="preserve">OBJ-02</w:t>
            </w:r>
          </w:p>
        </w:tc>
        <w:tc>
          <w:tcPr>
            <w:tcW w:w="1946" w:type="dxa"/>
          </w:tcPr>
          <w:p>
            <w:pPr/>
            <w:r>
              <w:t xml:space="preserve">Deliver fast</w:t>
            </w:r>
          </w:p>
        </w:tc>
        <w:tc>
          <w:tcPr>
            <w:tcW w:w="4920" w:type="dxa"/>
          </w:tcPr>
          <w:p>
            <w:pPr/>
            <w:r>
              <w:t xml:space="preserve">≥ 85% of deliveries completed within 30 minutes of pickup</w:t>
            </w:r>
          </w:p>
        </w:tc>
        <w:tc>
          <w:tcPr>
            <w:tcW w:w="1547" w:type="dxa"/>
          </w:tcPr>
          <w:p>
            <w:pPr/>
            <w:r>
              <w:t xml:space="preserve">Source: 20–30 min promise</w:t>
            </w:r>
          </w:p>
        </w:tc>
      </w:tr>
      <w:tr>
        <w:tc>
          <w:tcPr>
            <w:tcW w:w="947" w:type="dxa"/>
          </w:tcPr>
          <w:p>
            <w:pPr/>
            <w:r>
              <w:t xml:space="preserve">OBJ-03</w:t>
            </w:r>
          </w:p>
        </w:tc>
        <w:tc>
          <w:tcPr>
            <w:tcW w:w="1946" w:type="dxa"/>
          </w:tcPr>
          <w:p>
            <w:pPr/>
            <w:r>
              <w:t xml:space="preserve">Make delivery cost predictable</w:t>
            </w:r>
          </w:p>
        </w:tc>
        <w:tc>
          <w:tcPr>
            <w:tcW w:w="4920" w:type="dxa"/>
          </w:tcPr>
          <w:p>
            <w:pPr/>
            <w:r>
              <w:t xml:space="preserve">100% of requests priced at the published zone rate before payment; zero negotiated fees</w:t>
            </w:r>
          </w:p>
        </w:tc>
        <w:tc>
          <w:tcPr>
            <w:tcW w:w="1547" w:type="dxa"/>
          </w:tcPr>
          <w:p>
            <w:pPr/>
            <w:r>
              <w:t xml:space="preserve">Decision</w:t>
            </w:r>
          </w:p>
        </w:tc>
      </w:tr>
      <w:tr>
        <w:tc>
          <w:tcPr>
            <w:tcW w:w="947" w:type="dxa"/>
          </w:tcPr>
          <w:p>
            <w:pPr/>
            <w:r>
              <w:t xml:space="preserve">OBJ-04</w:t>
            </w:r>
          </w:p>
        </w:tc>
        <w:tc>
          <w:tcPr>
            <w:tcW w:w="1946" w:type="dxa"/>
          </w:tcPr>
          <w:p>
            <w:pPr/>
            <w:r>
              <w:t xml:space="preserve">Reach viable volume</w:t>
            </w:r>
          </w:p>
        </w:tc>
        <w:tc>
          <w:tcPr>
            <w:tcW w:w="4920" w:type="dxa"/>
          </w:tcPr>
          <w:p>
            <w:pPr/>
            <w:r>
              <w:t xml:space="preserve">≥ 50 deliveries/day zone average by month 3 (break-even ≈ 46 at ₦900 with 10 cyclists); ≥ 8 active vendors including ≥ 2 anchors at 30+ orders/day</w:t>
            </w:r>
          </w:p>
        </w:tc>
        <w:tc>
          <w:tcPr>
            <w:tcW w:w="1547" w:type="dxa"/>
          </w:tcPr>
          <w:p>
            <w:pPr/>
            <w:r>
              <w:t xml:space="preserve">Source: 50–100/day; assumption: anchors</w:t>
            </w:r>
          </w:p>
        </w:tc>
      </w:tr>
      <w:tr>
        <w:tc>
          <w:tcPr>
            <w:tcW w:w="947" w:type="dxa"/>
          </w:tcPr>
          <w:p>
            <w:pPr/>
            <w:r>
              <w:t xml:space="preserve">OBJ-05</w:t>
            </w:r>
          </w:p>
        </w:tc>
        <w:tc>
          <w:tcPr>
            <w:tcW w:w="1946" w:type="dxa"/>
          </w:tcPr>
          <w:p>
            <w:pPr/>
            <w:r>
              <w:t xml:space="preserve">Record and prove every delivery</w:t>
            </w:r>
          </w:p>
        </w:tc>
        <w:tc>
          <w:tcPr>
            <w:tcW w:w="4920" w:type="dxa"/>
          </w:tcPr>
          <w:p>
            <w:pPr/>
            <w:r>
              <w:t xml:space="preserve">100% of deliveries closed by receiver code or a logged exception; weekly statement available to every vendor</w:t>
            </w:r>
          </w:p>
        </w:tc>
        <w:tc>
          <w:tcPr>
            <w:tcW w:w="1547" w:type="dxa"/>
          </w:tcPr>
          <w:p>
            <w:pPr/>
            <w:r>
              <w:t xml:space="preserve">Decision</w:t>
            </w:r>
          </w:p>
        </w:tc>
      </w:tr>
      <w:tr>
        <w:tc>
          <w:tcPr>
            <w:tcW w:w="947" w:type="dxa"/>
          </w:tcPr>
          <w:p>
            <w:pPr/>
            <w:r>
              <w:t xml:space="preserve">OBJ-06</w:t>
            </w:r>
          </w:p>
        </w:tc>
        <w:tc>
          <w:tcPr>
            <w:tcW w:w="1946" w:type="dxa"/>
          </w:tcPr>
          <w:p>
            <w:pPr/>
            <w:r>
              <w:t xml:space="preserve">Operate legally and safely</w:t>
            </w:r>
          </w:p>
        </w:tc>
        <w:tc>
          <w:tcPr>
            <w:tcW w:w="4920" w:type="dxa"/>
          </w:tcPr>
          <w:p>
            <w:pPr/>
            <w:r>
              <w:t xml:space="preserve">CLRD Regional licence held before first paid delivery; zero uninsured incidents</w:t>
            </w:r>
          </w:p>
        </w:tc>
        <w:tc>
          <w:tcPr>
            <w:tcW w:w="1547" w:type="dxa"/>
          </w:tcPr>
          <w:p>
            <w:pPr/>
            <w:r>
              <w:t xml:space="preserve">Source: CLRD</w:t>
            </w:r>
          </w:p>
        </w:tc>
      </w:tr>
    </w:tbl>
    <w:p>
      <w:pPr>
        <w:pStyle w:val="Heading2"/>
      </w:pPr>
      <w:r>
        <w:t xml:space="preserve">6. Stakeholders summary</w:t>
      </w:r>
    </w:p>
    <w:p>
      <w:pPr/>
      <w:r>
        <w:t xml:space="preserve">Full register and power/interest grid are in the Phase 3 document. The four "manage closely" stakeholders own the requirements below.</w:t>
      </w:r>
    </w:p>
    <w:tbl>
      <w:tblPr>
        <w:tblStyle w:val="TableGrid"/>
        <w:tblW w:w="0" w:type="auto"/>
        <w:tblLayout w:type="fixed"/>
        <w:tblLook w:val="04A0" w:firstRow="1" w:lastRow="0" w:firstColumn="0" w:lastColumn="0" w:noHBand="0" w:noVBand="1"/>
      </w:tblPr>
      <w:tblGrid>
        <w:gridCol w:w="720"/>
        <w:gridCol w:w="1463"/>
        <w:gridCol w:w="3579"/>
        <w:gridCol w:w="3598"/>
      </w:tblGrid>
      <w:tr>
        <w:trPr>
          <w:tblHeader/>
        </w:trPr>
        <w:tc>
          <w:tcPr>
            <w:tcW w:w="720" w:type="dxa"/>
            <w:shd w:val="clear" w:color="auto" w:fill="F2F2F2"/>
          </w:tcPr>
          <w:p>
            <w:pPr/>
            <w:r>
              <w:t xml:space="preserve">ID</w:t>
            </w:r>
          </w:p>
        </w:tc>
        <w:tc>
          <w:tcPr>
            <w:tcW w:w="1463" w:type="dxa"/>
            <w:shd w:val="clear" w:color="auto" w:fill="F2F2F2"/>
          </w:tcPr>
          <w:p>
            <w:pPr/>
            <w:r>
              <w:t xml:space="preserve">Stakeholder</w:t>
            </w:r>
          </w:p>
        </w:tc>
        <w:tc>
          <w:tcPr>
            <w:tcW w:w="3579" w:type="dxa"/>
            <w:shd w:val="clear" w:color="auto" w:fill="F2F2F2"/>
          </w:tcPr>
          <w:p>
            <w:pPr/>
            <w:r>
              <w:t xml:space="preserve">Role in this BRD</w:t>
            </w:r>
          </w:p>
        </w:tc>
        <w:tc>
          <w:tcPr>
            <w:tcW w:w="3598" w:type="dxa"/>
            <w:shd w:val="clear" w:color="auto" w:fill="F2F2F2"/>
          </w:tcPr>
          <w:p>
            <w:pPr/>
            <w:r>
              <w:t xml:space="preserve">Key need</w:t>
            </w:r>
          </w:p>
        </w:tc>
      </w:tr>
      <w:tr>
        <w:tc>
          <w:tcPr>
            <w:tcW w:w="720" w:type="dxa"/>
          </w:tcPr>
          <w:p>
            <w:pPr/>
            <w:r>
              <w:t xml:space="preserve">S-01</w:t>
            </w:r>
          </w:p>
        </w:tc>
        <w:tc>
          <w:tcPr>
            <w:tcW w:w="1463" w:type="dxa"/>
          </w:tcPr>
          <w:p>
            <w:pPr/>
            <w:r>
              <w:t xml:space="preserve">Food vendors</w:t>
            </w:r>
          </w:p>
        </w:tc>
        <w:tc>
          <w:tcPr>
            <w:tcW w:w="3579" w:type="dxa"/>
          </w:tcPr>
          <w:p>
            <w:pPr/>
            <w:r>
              <w:t xml:space="preserve">Primary customer; requirements owner for request, pricing, history</w:t>
            </w:r>
          </w:p>
        </w:tc>
        <w:tc>
          <w:tcPr>
            <w:tcW w:w="3598" w:type="dxa"/>
          </w:tcPr>
          <w:p>
            <w:pPr/>
            <w:r>
              <w:t xml:space="preserve">Request in seconds, know the price, see every delivery</w:t>
            </w:r>
          </w:p>
        </w:tc>
      </w:tr>
      <w:tr>
        <w:tc>
          <w:tcPr>
            <w:tcW w:w="720" w:type="dxa"/>
          </w:tcPr>
          <w:p>
            <w:pPr/>
            <w:r>
              <w:t xml:space="preserve">S-02</w:t>
            </w:r>
          </w:p>
        </w:tc>
        <w:tc>
          <w:tcPr>
            <w:tcW w:w="1463" w:type="dxa"/>
          </w:tcPr>
          <w:p>
            <w:pPr/>
            <w:r>
              <w:t xml:space="preserve">Receivers</w:t>
            </w:r>
          </w:p>
        </w:tc>
        <w:tc>
          <w:tcPr>
            <w:tcW w:w="3579" w:type="dxa"/>
          </w:tcPr>
          <w:p>
            <w:pPr/>
            <w:r>
              <w:t xml:space="preserve">Beneficiary</w:t>
            </w:r>
          </w:p>
        </w:tc>
        <w:tc>
          <w:tcPr>
            <w:tcW w:w="3598" w:type="dxa"/>
          </w:tcPr>
          <w:p>
            <w:pPr/>
            <w:r>
              <w:t xml:space="preserve">Hot food fast; know where it is; confirm it is theirs</w:t>
            </w:r>
          </w:p>
        </w:tc>
      </w:tr>
      <w:tr>
        <w:tc>
          <w:tcPr>
            <w:tcW w:w="720" w:type="dxa"/>
          </w:tcPr>
          <w:p>
            <w:pPr/>
            <w:r>
              <w:t xml:space="preserve">S-03</w:t>
            </w:r>
          </w:p>
        </w:tc>
        <w:tc>
          <w:tcPr>
            <w:tcW w:w="1463" w:type="dxa"/>
          </w:tcPr>
          <w:p>
            <w:pPr/>
            <w:r>
              <w:t xml:space="preserve">Cyclists</w:t>
            </w:r>
          </w:p>
        </w:tc>
        <w:tc>
          <w:tcPr>
            <w:tcW w:w="3579" w:type="dxa"/>
          </w:tcPr>
          <w:p>
            <w:pPr/>
            <w:r>
              <w:t xml:space="preserve">Workforce; requirements owner for assignment and handover</w:t>
            </w:r>
          </w:p>
        </w:tc>
        <w:tc>
          <w:tcPr>
            <w:tcW w:w="3598" w:type="dxa"/>
          </w:tcPr>
          <w:p>
            <w:pPr/>
            <w:r>
              <w:t xml:space="preserve">Clear jobs, steady pay, no blame for food not ready</w:t>
            </w:r>
          </w:p>
        </w:tc>
      </w:tr>
      <w:tr>
        <w:tc>
          <w:tcPr>
            <w:tcW w:w="720" w:type="dxa"/>
          </w:tcPr>
          <w:p>
            <w:pPr/>
            <w:r>
              <w:t xml:space="preserve">S-04</w:t>
            </w:r>
          </w:p>
        </w:tc>
        <w:tc>
          <w:tcPr>
            <w:tcW w:w="1463" w:type="dxa"/>
          </w:tcPr>
          <w:p>
            <w:pPr/>
            <w:r>
              <w:t xml:space="preserve">System admin (Chinedu)</w:t>
            </w:r>
          </w:p>
        </w:tc>
        <w:tc>
          <w:tcPr>
            <w:tcW w:w="3579" w:type="dxa"/>
          </w:tcPr>
          <w:p>
            <w:pPr/>
            <w:r>
              <w:t xml:space="preserve">Internal user; requirements owner for monitoring and exceptions</w:t>
            </w:r>
          </w:p>
        </w:tc>
        <w:tc>
          <w:tcPr>
            <w:tcW w:w="3598" w:type="dxa"/>
          </w:tcPr>
          <w:p>
            <w:pPr/>
            <w:r>
              <w:t xml:space="preserve">See everything, intervene fast</w:t>
            </w:r>
          </w:p>
        </w:tc>
      </w:tr>
      <w:tr>
        <w:tc>
          <w:tcPr>
            <w:tcW w:w="720" w:type="dxa"/>
          </w:tcPr>
          <w:p>
            <w:pPr/>
            <w:r>
              <w:t xml:space="preserve">S-05</w:t>
            </w:r>
          </w:p>
        </w:tc>
        <w:tc>
          <w:tcPr>
            <w:tcW w:w="1463" w:type="dxa"/>
          </w:tcPr>
          <w:p>
            <w:pPr/>
            <w:r>
              <w:t xml:space="preserve">Founder</w:t>
            </w:r>
          </w:p>
        </w:tc>
        <w:tc>
          <w:tcPr>
            <w:tcW w:w="3579" w:type="dxa"/>
          </w:tcPr>
          <w:p>
            <w:pPr/>
            <w:r>
              <w:t xml:space="preserve">Sponsor; approves this document and all business rules</w:t>
            </w:r>
          </w:p>
        </w:tc>
        <w:tc>
          <w:tcPr>
            <w:tcW w:w="3598" w:type="dxa"/>
          </w:tcPr>
          <w:p>
            <w:pPr/>
            <w:r>
              <w:t xml:space="preserve">Volume, margin, control of pricing and onboarding</w:t>
            </w:r>
          </w:p>
        </w:tc>
      </w:tr>
      <w:tr>
        <w:tc>
          <w:tcPr>
            <w:tcW w:w="720" w:type="dxa"/>
          </w:tcPr>
          <w:p>
            <w:pPr/>
            <w:r>
              <w:t xml:space="preserve">S-06</w:t>
            </w:r>
          </w:p>
        </w:tc>
        <w:tc>
          <w:tcPr>
            <w:tcW w:w="1463" w:type="dxa"/>
          </w:tcPr>
          <w:p>
            <w:pPr/>
            <w:r>
              <w:t xml:space="preserve">NIPOST CLRD</w:t>
            </w:r>
          </w:p>
        </w:tc>
        <w:tc>
          <w:tcPr>
            <w:tcW w:w="3579" w:type="dxa"/>
          </w:tcPr>
          <w:p>
            <w:pPr/>
            <w:r>
              <w:t xml:space="preserve">Regulator</w:t>
            </w:r>
          </w:p>
        </w:tc>
        <w:tc>
          <w:tcPr>
            <w:tcW w:w="3598" w:type="dxa"/>
          </w:tcPr>
          <w:p>
            <w:pPr/>
            <w:r>
              <w:t xml:space="preserve">Licensed operation, complaint handling</w:t>
            </w:r>
          </w:p>
        </w:tc>
      </w:tr>
    </w:tbl>
    <w:p>
      <w:pPr>
        <w:pStyle w:val="Heading2"/>
      </w:pPr>
      <w:r>
        <w:t xml:space="preserve">7. Current state summary</w:t>
      </w:r>
    </w:p>
    <w:p>
      <w:pPr/>
      <w:r>
        <w:t xml:space="preserve">A direct order today passes through ten manual steps across vendor, rider and receiver, fails at five of them, and produces no record. The full AS-IS diagram, journey maps and pain-point log are in the Phase 3 document; the twelve pain points reduce to four root causes.</w:t>
      </w:r>
    </w:p>
    <w:tbl>
      <w:tblPr>
        <w:tblStyle w:val="TableGrid"/>
        <w:tblW w:w="0" w:type="auto"/>
        <w:tblLayout w:type="fixed"/>
        <w:tblLook w:val="04A0" w:firstRow="1" w:lastRow="0" w:firstColumn="0" w:lastColumn="0" w:noHBand="0" w:noVBand="1"/>
      </w:tblPr>
      <w:tblGrid>
        <w:gridCol w:w="2264"/>
        <w:gridCol w:w="4920"/>
        <w:gridCol w:w="2176"/>
      </w:tblGrid>
      <w:tr>
        <w:trPr>
          <w:tblHeader/>
        </w:trPr>
        <w:tc>
          <w:tcPr>
            <w:tcW w:w="2264" w:type="dxa"/>
            <w:shd w:val="clear" w:color="auto" w:fill="F2F2F2"/>
          </w:tcPr>
          <w:p>
            <w:pPr/>
            <w:r>
              <w:t xml:space="preserve">Root cause</w:t>
            </w:r>
          </w:p>
        </w:tc>
        <w:tc>
          <w:tcPr>
            <w:tcW w:w="4920" w:type="dxa"/>
            <w:shd w:val="clear" w:color="auto" w:fill="F2F2F2"/>
          </w:tcPr>
          <w:p>
            <w:pPr/>
            <w:r>
              <w:t xml:space="preserve">Pain points</w:t>
            </w:r>
          </w:p>
        </w:tc>
        <w:tc>
          <w:tcPr>
            <w:tcW w:w="2176" w:type="dxa"/>
            <w:shd w:val="clear" w:color="auto" w:fill="F2F2F2"/>
          </w:tcPr>
          <w:p>
            <w:pPr/>
            <w:r>
              <w:t xml:space="preserve">Who feels it most</w:t>
            </w:r>
          </w:p>
        </w:tc>
      </w:tr>
      <w:tr>
        <w:tc>
          <w:tcPr>
            <w:tcW w:w="2264" w:type="dxa"/>
          </w:tcPr>
          <w:p>
            <w:pPr/>
            <w:r>
              <w:t xml:space="preserve">RC-1 No committed, pre-positioned capacity</w:t>
            </w:r>
          </w:p>
        </w:tc>
        <w:tc>
          <w:tcPr>
            <w:tcW w:w="4920" w:type="dxa"/>
          </w:tcPr>
          <w:p>
            <w:pPr/>
            <w:r>
              <w:t xml:space="preserve">PP-01 no rider at peak · PP-03 food waits for rider · PP-04 rider diverts to better fare · PP-12 riders chase fares, no loyalty</w:t>
            </w:r>
          </w:p>
        </w:tc>
        <w:tc>
          <w:tcPr>
            <w:tcW w:w="2176" w:type="dxa"/>
          </w:tcPr>
          <w:p>
            <w:pPr/>
            <w:r>
              <w:t xml:space="preserve">Vendors, receivers</w:t>
            </w:r>
          </w:p>
        </w:tc>
      </w:tr>
      <w:tr>
        <w:tc>
          <w:tcPr>
            <w:tcW w:w="2264" w:type="dxa"/>
          </w:tcPr>
          <w:p>
            <w:pPr/>
            <w:r>
              <w:t xml:space="preserve">RC-2 No record and no visibility</w:t>
            </w:r>
          </w:p>
        </w:tc>
        <w:tc>
          <w:tcPr>
            <w:tcW w:w="4920" w:type="dxa"/>
          </w:tcPr>
          <w:p>
            <w:pPr/>
            <w:r>
              <w:t xml:space="preserve">PP-05 nothing recorded · PP-07 receiver calls vendor · PP-09 complaints land on vendor · PP-10 wrong recipient, no proof · PP-11 no cost or performance view</w:t>
            </w:r>
          </w:p>
        </w:tc>
        <w:tc>
          <w:tcPr>
            <w:tcW w:w="2176" w:type="dxa"/>
          </w:tcPr>
          <w:p>
            <w:pPr/>
            <w:r>
              <w:t xml:space="preserve">Vendors, Airand</w:t>
            </w:r>
          </w:p>
        </w:tc>
      </w:tr>
      <w:tr>
        <w:tc>
          <w:tcPr>
            <w:tcW w:w="2264" w:type="dxa"/>
          </w:tcPr>
          <w:p>
            <w:pPr/>
            <w:r>
              <w:t xml:space="preserve">RC-3 No pricing rule</w:t>
            </w:r>
          </w:p>
        </w:tc>
        <w:tc>
          <w:tcPr>
            <w:tcW w:w="4920" w:type="dxa"/>
          </w:tcPr>
          <w:p>
            <w:pPr/>
            <w:r>
              <w:t xml:space="preserve">PP-02 fee negotiated per trip · PP-08 vendor cannot quote a fee</w:t>
            </w:r>
          </w:p>
        </w:tc>
        <w:tc>
          <w:tcPr>
            <w:tcW w:w="2176" w:type="dxa"/>
          </w:tcPr>
          <w:p>
            <w:pPr/>
            <w:r>
              <w:t xml:space="preserve">Vendors, receivers</w:t>
            </w:r>
          </w:p>
        </w:tc>
      </w:tr>
      <w:tr>
        <w:tc>
          <w:tcPr>
            <w:tcW w:w="2264" w:type="dxa"/>
          </w:tcPr>
          <w:p>
            <w:pPr/>
            <w:r>
              <w:t xml:space="preserve">RC-4 Unstructured address and contact capture</w:t>
            </w:r>
          </w:p>
        </w:tc>
        <w:tc>
          <w:tcPr>
            <w:tcW w:w="4920" w:type="dxa"/>
          </w:tcPr>
          <w:p>
            <w:pPr/>
            <w:r>
              <w:t xml:space="preserve">PP-06 receiver unreachable, wrong flat</w:t>
            </w:r>
          </w:p>
        </w:tc>
        <w:tc>
          <w:tcPr>
            <w:tcW w:w="2176" w:type="dxa"/>
          </w:tcPr>
          <w:p>
            <w:pPr/>
            <w:r>
              <w:t xml:space="preserve">Riders, receivers</w:t>
            </w:r>
          </w:p>
        </w:tc>
      </w:tr>
    </w:tbl>
    <w:p>
      <w:pPr/>
      <w:r>
        <w:t xml:space="preserve">Three AS-IS variants exist: a retained-rider arrangement (closest to Airand, fails on reliability and records), per-order on-demand app requests (fixes price and availability off-peak, not peak or pickup wait), and self-delivery on foot (no reach).</w:t>
      </w:r>
    </w:p>
    <w:p>
      <w:pPr>
        <w:pStyle w:val="Heading2"/>
      </w:pPr>
      <w:r>
        <w:t xml:space="preserve">8. Gap analysis</w:t>
      </w:r>
    </w:p>
    <w:p>
      <w:pPr/>
      <w:r>
        <w:t xml:space="preserve">Each root cause is closed by a desired state; the gap between them is what the business requirements must fill. Priorities are MoSCoW for the pilot.</w:t>
      </w:r>
    </w:p>
    <w:tbl>
      <w:tblPr>
        <w:tblStyle w:val="TableGrid"/>
        <w:tblW w:w="0" w:type="auto"/>
        <w:tblLayout w:type="fixed"/>
        <w:tblLook w:val="04A0" w:firstRow="1" w:lastRow="0" w:firstColumn="0" w:lastColumn="0" w:noHBand="0" w:noVBand="1"/>
      </w:tblPr>
      <w:tblGrid>
        <w:gridCol w:w="1337"/>
        <w:gridCol w:w="830"/>
        <w:gridCol w:w="1337"/>
        <w:gridCol w:w="2335"/>
        <w:gridCol w:w="1583"/>
        <w:gridCol w:w="910"/>
        <w:gridCol w:w="1027"/>
      </w:tblGrid>
      <w:tr>
        <w:trPr>
          <w:tblHeader/>
        </w:trPr>
        <w:tc>
          <w:tcPr>
            <w:tcW w:w="1337" w:type="dxa"/>
            <w:shd w:val="clear" w:color="auto" w:fill="F2F2F2"/>
          </w:tcPr>
          <w:p>
            <w:pPr/>
            <w:r>
              <w:t xml:space="preserve">Gap</w:t>
            </w:r>
          </w:p>
        </w:tc>
        <w:tc>
          <w:tcPr>
            <w:tcW w:w="830" w:type="dxa"/>
            <w:shd w:val="clear" w:color="auto" w:fill="F2F2F2"/>
          </w:tcPr>
          <w:p>
            <w:pPr/>
            <w:r>
              <w:t xml:space="preserve">Root cause</w:t>
            </w:r>
          </w:p>
        </w:tc>
        <w:tc>
          <w:tcPr>
            <w:tcW w:w="1337" w:type="dxa"/>
            <w:shd w:val="clear" w:color="auto" w:fill="F2F2F2"/>
          </w:tcPr>
          <w:p>
            <w:pPr/>
            <w:r>
              <w:t xml:space="preserve">Current state</w:t>
            </w:r>
          </w:p>
        </w:tc>
        <w:tc>
          <w:tcPr>
            <w:tcW w:w="2335" w:type="dxa"/>
            <w:shd w:val="clear" w:color="auto" w:fill="F2F2F2"/>
          </w:tcPr>
          <w:p>
            <w:pPr/>
            <w:r>
              <w:t xml:space="preserve">Desired state</w:t>
            </w:r>
          </w:p>
        </w:tc>
        <w:tc>
          <w:tcPr>
            <w:tcW w:w="1583" w:type="dxa"/>
            <w:shd w:val="clear" w:color="auto" w:fill="F2F2F2"/>
          </w:tcPr>
          <w:p>
            <w:pPr/>
            <w:r>
              <w:t xml:space="preserve">What must change</w:t>
            </w:r>
          </w:p>
        </w:tc>
        <w:tc>
          <w:tcPr>
            <w:tcW w:w="910" w:type="dxa"/>
            <w:shd w:val="clear" w:color="auto" w:fill="F2F2F2"/>
          </w:tcPr>
          <w:p>
            <w:pPr/>
            <w:r>
              <w:t xml:space="preserve">Pain points closed</w:t>
            </w:r>
          </w:p>
        </w:tc>
        <w:tc>
          <w:tcPr>
            <w:tcW w:w="1027" w:type="dxa"/>
            <w:shd w:val="clear" w:color="auto" w:fill="F2F2F2"/>
          </w:tcPr>
          <w:p>
            <w:pPr/>
            <w:r>
              <w:t xml:space="preserve">Priority</w:t>
            </w:r>
          </w:p>
        </w:tc>
      </w:tr>
      <w:tr>
        <w:tc>
          <w:tcPr>
            <w:tcW w:w="1337" w:type="dxa"/>
          </w:tcPr>
          <w:p>
            <w:pPr/>
            <w:r>
              <w:t xml:space="preserve">G-01 Capacity</w:t>
            </w:r>
          </w:p>
        </w:tc>
        <w:tc>
          <w:tcPr>
            <w:tcW w:w="830" w:type="dxa"/>
          </w:tcPr>
          <w:p>
            <w:pPr/>
            <w:r>
              <w:t xml:space="preserve">RC-1</w:t>
            </w:r>
          </w:p>
        </w:tc>
        <w:tc>
          <w:tcPr>
            <w:tcW w:w="1337" w:type="dxa"/>
          </w:tcPr>
          <w:p>
            <w:pPr/>
            <w:r>
              <w:t xml:space="preserve">Vendor phones freelance riders; none obliged to come; capacity collapses after 10 PM</w:t>
            </w:r>
          </w:p>
        </w:tc>
        <w:tc>
          <w:tcPr>
            <w:tcW w:w="2335" w:type="dxa"/>
          </w:tcPr>
          <w:p>
            <w:pPr/>
            <w:r>
              <w:t xml:space="preserve">A scheduled pool of Airand cyclists at a zone hub, sized to measured demand, rostered to 7–11 PM</w:t>
            </w:r>
          </w:p>
        </w:tc>
        <w:tc>
          <w:tcPr>
            <w:tcW w:w="1583" w:type="dxa"/>
          </w:tcPr>
          <w:p>
            <w:pPr/>
            <w:r>
              <w:t xml:space="preserve">Zone definition; hub; cyclist roster and retainer pay; capacity planning from data</w:t>
            </w:r>
          </w:p>
        </w:tc>
        <w:tc>
          <w:tcPr>
            <w:tcW w:w="910" w:type="dxa"/>
          </w:tcPr>
          <w:p>
            <w:pPr/>
            <w:r>
              <w:t xml:space="preserve">PP-01, 03, 12</w:t>
            </w:r>
          </w:p>
        </w:tc>
        <w:tc>
          <w:tcPr>
            <w:tcW w:w="1027" w:type="dxa"/>
          </w:tcPr>
          <w:p>
            <w:pPr/>
            <w:r>
              <w:t xml:space="preserve">Must</w:t>
            </w:r>
          </w:p>
        </w:tc>
      </w:tr>
      <w:tr>
        <w:tc>
          <w:tcPr>
            <w:tcW w:w="1337" w:type="dxa"/>
          </w:tcPr>
          <w:p>
            <w:pPr/>
            <w:r>
              <w:t xml:space="preserve">G-02 Assignment</w:t>
            </w:r>
          </w:p>
        </w:tc>
        <w:tc>
          <w:tcPr>
            <w:tcW w:w="830" w:type="dxa"/>
          </w:tcPr>
          <w:p>
            <w:pPr/>
            <w:r>
              <w:t xml:space="preserve">RC-1</w:t>
            </w:r>
          </w:p>
        </w:tc>
        <w:tc>
          <w:tcPr>
            <w:tcW w:w="1337" w:type="dxa"/>
          </w:tcPr>
          <w:p>
            <w:pPr/>
            <w:r>
              <w:t xml:space="preserve">Assignment is whoever answers the phone</w:t>
            </w:r>
          </w:p>
        </w:tc>
        <w:tc>
          <w:tcPr>
            <w:tcW w:w="2335" w:type="dxa"/>
          </w:tcPr>
          <w:p>
            <w:pPr/>
            <w:r>
              <w:t xml:space="preserve">The system assigns the nearest available cyclist automatically within seconds; system admin intervenes only on exceptions</w:t>
            </w:r>
          </w:p>
        </w:tc>
        <w:tc>
          <w:tcPr>
            <w:tcW w:w="1583" w:type="dxa"/>
          </w:tcPr>
          <w:p>
            <w:pPr/>
            <w:r>
              <w:t xml:space="preserve">Assignment rule; cyclist availability state; system admin override</w:t>
            </w:r>
          </w:p>
        </w:tc>
        <w:tc>
          <w:tcPr>
            <w:tcW w:w="910" w:type="dxa"/>
          </w:tcPr>
          <w:p>
            <w:pPr/>
            <w:r>
              <w:t xml:space="preserve">PP-01, 04</w:t>
            </w:r>
          </w:p>
        </w:tc>
        <w:tc>
          <w:tcPr>
            <w:tcW w:w="1027" w:type="dxa"/>
          </w:tcPr>
          <w:p>
            <w:pPr/>
            <w:r>
              <w:t xml:space="preserve">Must</w:t>
            </w:r>
          </w:p>
        </w:tc>
      </w:tr>
      <w:tr>
        <w:tc>
          <w:tcPr>
            <w:tcW w:w="1337" w:type="dxa"/>
          </w:tcPr>
          <w:p>
            <w:pPr/>
            <w:r>
              <w:t xml:space="preserve">G-03 Delivery record</w:t>
            </w:r>
          </w:p>
        </w:tc>
        <w:tc>
          <w:tcPr>
            <w:tcW w:w="830" w:type="dxa"/>
          </w:tcPr>
          <w:p>
            <w:pPr/>
            <w:r>
              <w:t xml:space="preserve">RC-2</w:t>
            </w:r>
          </w:p>
        </w:tc>
        <w:tc>
          <w:tcPr>
            <w:tcW w:w="1337" w:type="dxa"/>
          </w:tcPr>
          <w:p>
            <w:pPr/>
            <w:r>
              <w:t xml:space="preserve">Verbal handover, notebook of amounts owed</w:t>
            </w:r>
          </w:p>
        </w:tc>
        <w:tc>
          <w:tcPr>
            <w:tcW w:w="2335" w:type="dxa"/>
          </w:tcPr>
          <w:p>
            <w:pPr/>
            <w:r>
              <w:t xml:space="preserve">Every delivery has a timestamped lifecycle: requested → paid → assigned → picked up → delivered/failed</w:t>
            </w:r>
          </w:p>
        </w:tc>
        <w:tc>
          <w:tcPr>
            <w:tcW w:w="1583" w:type="dxa"/>
          </w:tcPr>
          <w:p>
            <w:pPr/>
            <w:r>
              <w:t xml:space="preserve">Status lifecycle; pickup confirmation; receiver code at handover; failure reason capture</w:t>
            </w:r>
          </w:p>
        </w:tc>
        <w:tc>
          <w:tcPr>
            <w:tcW w:w="910" w:type="dxa"/>
          </w:tcPr>
          <w:p>
            <w:pPr/>
            <w:r>
              <w:t xml:space="preserve">PP-05, 09, 10</w:t>
            </w:r>
          </w:p>
        </w:tc>
        <w:tc>
          <w:tcPr>
            <w:tcW w:w="1027" w:type="dxa"/>
          </w:tcPr>
          <w:p>
            <w:pPr/>
            <w:r>
              <w:t xml:space="preserve">Must</w:t>
            </w:r>
          </w:p>
        </w:tc>
      </w:tr>
      <w:tr>
        <w:tc>
          <w:tcPr>
            <w:tcW w:w="1337" w:type="dxa"/>
          </w:tcPr>
          <w:p>
            <w:pPr/>
            <w:r>
              <w:t xml:space="preserve">G-04 Visibility</w:t>
            </w:r>
          </w:p>
        </w:tc>
        <w:tc>
          <w:tcPr>
            <w:tcW w:w="830" w:type="dxa"/>
          </w:tcPr>
          <w:p>
            <w:pPr/>
            <w:r>
              <w:t xml:space="preserve">RC-2</w:t>
            </w:r>
          </w:p>
        </w:tc>
        <w:tc>
          <w:tcPr>
            <w:tcW w:w="1337" w:type="dxa"/>
          </w:tcPr>
          <w:p>
            <w:pPr/>
            <w:r>
              <w:t xml:space="preserve">Vendor and receiver learn nothing until someone calls</w:t>
            </w:r>
          </w:p>
        </w:tc>
        <w:tc>
          <w:tcPr>
            <w:tcW w:w="2335" w:type="dxa"/>
          </w:tcPr>
          <w:p>
            <w:pPr/>
            <w:r>
              <w:t xml:space="preserve">Vendor sees all active and past deliveries; receiver can open a status link; system admin sees the whole zone live</w:t>
            </w:r>
          </w:p>
        </w:tc>
        <w:tc>
          <w:tcPr>
            <w:tcW w:w="1583" w:type="dxa"/>
          </w:tcPr>
          <w:p>
            <w:pPr/>
            <w:r>
              <w:t xml:space="preserve">Vendor history view; receiver tracking link; live admin console</w:t>
            </w:r>
          </w:p>
        </w:tc>
        <w:tc>
          <w:tcPr>
            <w:tcW w:w="910" w:type="dxa"/>
          </w:tcPr>
          <w:p>
            <w:pPr/>
            <w:r>
              <w:t xml:space="preserve">PP-07, 09, 11</w:t>
            </w:r>
          </w:p>
        </w:tc>
        <w:tc>
          <w:tcPr>
            <w:tcW w:w="1027" w:type="dxa"/>
          </w:tcPr>
          <w:p>
            <w:pPr/>
            <w:r>
              <w:t xml:space="preserve">Must</w:t>
            </w:r>
          </w:p>
        </w:tc>
      </w:tr>
      <w:tr>
        <w:tc>
          <w:tcPr>
            <w:tcW w:w="1337" w:type="dxa"/>
          </w:tcPr>
          <w:p>
            <w:pPr/>
            <w:r>
              <w:t xml:space="preserve">G-05 Pricing</w:t>
            </w:r>
          </w:p>
        </w:tc>
        <w:tc>
          <w:tcPr>
            <w:tcW w:w="830" w:type="dxa"/>
          </w:tcPr>
          <w:p>
            <w:pPr/>
            <w:r>
              <w:t xml:space="preserve">RC-3</w:t>
            </w:r>
          </w:p>
        </w:tc>
        <w:tc>
          <w:tcPr>
            <w:tcW w:w="1337" w:type="dxa"/>
          </w:tcPr>
          <w:p>
            <w:pPr/>
            <w:r>
              <w:t xml:space="preserve">Fee negotiated per trip, varies with time and weather</w:t>
            </w:r>
          </w:p>
        </w:tc>
        <w:tc>
          <w:tcPr>
            <w:tcW w:w="2335" w:type="dxa"/>
          </w:tcPr>
          <w:p>
            <w:pPr/>
            <w:r>
              <w:t xml:space="preserve">One published zone rate, shown before the request is confirmed, identical at peak</w:t>
            </w:r>
          </w:p>
        </w:tc>
        <w:tc>
          <w:tcPr>
            <w:tcW w:w="1583" w:type="dxa"/>
          </w:tcPr>
          <w:p>
            <w:pPr/>
            <w:r>
              <w:t xml:space="preserve">Pricing rule by zone; rate displayed at request</w:t>
            </w:r>
          </w:p>
        </w:tc>
        <w:tc>
          <w:tcPr>
            <w:tcW w:w="910" w:type="dxa"/>
          </w:tcPr>
          <w:p>
            <w:pPr/>
            <w:r>
              <w:t xml:space="preserve">PP-02, 08</w:t>
            </w:r>
          </w:p>
        </w:tc>
        <w:tc>
          <w:tcPr>
            <w:tcW w:w="1027" w:type="dxa"/>
          </w:tcPr>
          <w:p>
            <w:pPr/>
            <w:r>
              <w:t xml:space="preserve">Must</w:t>
            </w:r>
          </w:p>
        </w:tc>
      </w:tr>
      <w:tr>
        <w:tc>
          <w:tcPr>
            <w:tcW w:w="1337" w:type="dxa"/>
          </w:tcPr>
          <w:p>
            <w:pPr/>
            <w:r>
              <w:t xml:space="preserve">G-06 Payment</w:t>
            </w:r>
          </w:p>
        </w:tc>
        <w:tc>
          <w:tcPr>
            <w:tcW w:w="830" w:type="dxa"/>
          </w:tcPr>
          <w:p>
            <w:pPr/>
            <w:r>
              <w:t xml:space="preserve">RC-2, RC-3</w:t>
            </w:r>
          </w:p>
        </w:tc>
        <w:tc>
          <w:tcPr>
            <w:tcW w:w="1337" w:type="dxa"/>
          </w:tcPr>
          <w:p>
            <w:pPr/>
            <w:r>
              <w:t xml:space="preserve">Cash settled with rider later, from memory</w:t>
            </w:r>
          </w:p>
        </w:tc>
        <w:tc>
          <w:tcPr>
            <w:tcW w:w="2335" w:type="dxa"/>
          </w:tcPr>
          <w:p>
            <w:pPr/>
            <w:r>
              <w:t xml:space="preserve">Requester pays the fixed fee at request time; request activates on confirmed payment; weekly statement generated from records</w:t>
            </w:r>
          </w:p>
        </w:tc>
        <w:tc>
          <w:tcPr>
            <w:tcW w:w="1583" w:type="dxa"/>
          </w:tcPr>
          <w:p>
            <w:pPr/>
            <w:r>
              <w:t xml:space="preserve">Payment at request; wallet or transfer confirmation; statement</w:t>
            </w:r>
          </w:p>
        </w:tc>
        <w:tc>
          <w:tcPr>
            <w:tcW w:w="910" w:type="dxa"/>
          </w:tcPr>
          <w:p>
            <w:pPr/>
            <w:r>
              <w:t xml:space="preserve">PP-05, 11</w:t>
            </w:r>
          </w:p>
        </w:tc>
        <w:tc>
          <w:tcPr>
            <w:tcW w:w="1027" w:type="dxa"/>
          </w:tcPr>
          <w:p>
            <w:pPr/>
            <w:r>
              <w:t xml:space="preserve">Must</w:t>
            </w:r>
          </w:p>
        </w:tc>
      </w:tr>
      <w:tr>
        <w:tc>
          <w:tcPr>
            <w:tcW w:w="1337" w:type="dxa"/>
          </w:tcPr>
          <w:p>
            <w:pPr/>
            <w:r>
              <w:t xml:space="preserve">G-07 Address and contact</w:t>
            </w:r>
          </w:p>
        </w:tc>
        <w:tc>
          <w:tcPr>
            <w:tcW w:w="830" w:type="dxa"/>
          </w:tcPr>
          <w:p>
            <w:pPr/>
            <w:r>
              <w:t xml:space="preserve">RC-4</w:t>
            </w:r>
          </w:p>
        </w:tc>
        <w:tc>
          <w:tcPr>
            <w:tcW w:w="1337" w:type="dxa"/>
          </w:tcPr>
          <w:p>
            <w:pPr/>
            <w:r>
              <w:t xml:space="preserve">Address given verbally; rider calls for directions</w:t>
            </w:r>
          </w:p>
        </w:tc>
        <w:tc>
          <w:tcPr>
            <w:tcW w:w="2335" w:type="dxa"/>
          </w:tcPr>
          <w:p>
            <w:pPr/>
            <w:r>
              <w:t xml:space="preserve">Drop-off address and receiver phone captured once in a structured form; code and link sent automatically</w:t>
            </w:r>
          </w:p>
        </w:tc>
        <w:tc>
          <w:tcPr>
            <w:tcW w:w="1583" w:type="dxa"/>
          </w:tcPr>
          <w:p>
            <w:pPr/>
            <w:r>
              <w:t xml:space="preserve">Structured request form; messaging integration; exception path when unreachable</w:t>
            </w:r>
          </w:p>
        </w:tc>
        <w:tc>
          <w:tcPr>
            <w:tcW w:w="910" w:type="dxa"/>
          </w:tcPr>
          <w:p>
            <w:pPr/>
            <w:r>
              <w:t xml:space="preserve">PP-06</w:t>
            </w:r>
          </w:p>
        </w:tc>
        <w:tc>
          <w:tcPr>
            <w:tcW w:w="1027" w:type="dxa"/>
          </w:tcPr>
          <w:p>
            <w:pPr/>
            <w:r>
              <w:t xml:space="preserve">Must</w:t>
            </w:r>
          </w:p>
        </w:tc>
      </w:tr>
      <w:tr>
        <w:tc>
          <w:tcPr>
            <w:tcW w:w="1337" w:type="dxa"/>
          </w:tcPr>
          <w:p>
            <w:pPr/>
            <w:r>
              <w:t xml:space="preserve">G-08 Performance data</w:t>
            </w:r>
          </w:p>
        </w:tc>
        <w:tc>
          <w:tcPr>
            <w:tcW w:w="830" w:type="dxa"/>
          </w:tcPr>
          <w:p>
            <w:pPr/>
            <w:r>
              <w:t xml:space="preserve">RC-2</w:t>
            </w:r>
          </w:p>
        </w:tc>
        <w:tc>
          <w:tcPr>
            <w:tcW w:w="1337" w:type="dxa"/>
          </w:tcPr>
          <w:p>
            <w:pPr/>
            <w:r>
              <w:t xml:space="preserve">None</w:t>
            </w:r>
          </w:p>
        </w:tc>
        <w:tc>
          <w:tcPr>
            <w:tcW w:w="2335" w:type="dxa"/>
          </w:tcPr>
          <w:p>
            <w:pPr/>
            <w:r>
              <w:t xml:space="preserve">Management sees volume, timings, failures, revenue and cyclist utilisation by day and hour</w:t>
            </w:r>
          </w:p>
        </w:tc>
        <w:tc>
          <w:tcPr>
            <w:tcW w:w="1583" w:type="dxa"/>
          </w:tcPr>
          <w:p>
            <w:pPr/>
            <w:r>
              <w:t xml:space="preserve">Reporting from the delivery record</w:t>
            </w:r>
          </w:p>
        </w:tc>
        <w:tc>
          <w:tcPr>
            <w:tcW w:w="910" w:type="dxa"/>
          </w:tcPr>
          <w:p>
            <w:pPr/>
            <w:r>
              <w:t xml:space="preserve">PP-11</w:t>
            </w:r>
          </w:p>
        </w:tc>
        <w:tc>
          <w:tcPr>
            <w:tcW w:w="1027" w:type="dxa"/>
          </w:tcPr>
          <w:p>
            <w:pPr/>
            <w:r>
              <w:t xml:space="preserve">Should</w:t>
            </w:r>
          </w:p>
        </w:tc>
      </w:tr>
      <w:tr>
        <w:tc>
          <w:tcPr>
            <w:tcW w:w="1337" w:type="dxa"/>
          </w:tcPr>
          <w:p>
            <w:pPr/>
            <w:r>
              <w:t xml:space="preserve">G-09 Compliance</w:t>
            </w:r>
          </w:p>
        </w:tc>
        <w:tc>
          <w:tcPr>
            <w:tcW w:w="830" w:type="dxa"/>
          </w:tcPr>
          <w:p>
            <w:pPr/>
            <w:r>
              <w:t xml:space="preserve">—</w:t>
            </w:r>
          </w:p>
        </w:tc>
        <w:tc>
          <w:tcPr>
            <w:tcW w:w="1337" w:type="dxa"/>
          </w:tcPr>
          <w:p>
            <w:pPr/>
            <w:r>
              <w:t xml:space="preserve">Unlicensed informal activity</w:t>
            </w:r>
          </w:p>
        </w:tc>
        <w:tc>
          <w:tcPr>
            <w:tcW w:w="2335" w:type="dxa"/>
          </w:tcPr>
          <w:p>
            <w:pPr/>
            <w:r>
              <w:t xml:space="preserve">Airand holds a CLRD Regional licence and meets its operating standards</w:t>
            </w:r>
          </w:p>
        </w:tc>
        <w:tc>
          <w:tcPr>
            <w:tcW w:w="1583" w:type="dxa"/>
          </w:tcPr>
          <w:p>
            <w:pPr/>
            <w:r>
              <w:t xml:space="preserve">Licence, CAC registration, complaints handling, trained staff</w:t>
            </w:r>
          </w:p>
        </w:tc>
        <w:tc>
          <w:tcPr>
            <w:tcW w:w="910" w:type="dxa"/>
          </w:tcPr>
          <w:p>
            <w:pPr/>
            <w:r>
              <w:t xml:space="preserve">—</w:t>
            </w:r>
          </w:p>
        </w:tc>
        <w:tc>
          <w:tcPr>
            <w:tcW w:w="1027" w:type="dxa"/>
          </w:tcPr>
          <w:p>
            <w:pPr/>
            <w:r>
              <w:t xml:space="preserve">Must</w:t>
            </w:r>
          </w:p>
        </w:tc>
      </w:tr>
      <w:tr>
        <w:tc>
          <w:tcPr>
            <w:tcW w:w="1337" w:type="dxa"/>
          </w:tcPr>
          <w:p>
            <w:pPr/>
            <w:r>
              <w:t xml:space="preserve">G-10 Vendor onboarding</w:t>
            </w:r>
          </w:p>
        </w:tc>
        <w:tc>
          <w:tcPr>
            <w:tcW w:w="830" w:type="dxa"/>
          </w:tcPr>
          <w:p>
            <w:pPr/>
            <w:r>
              <w:t xml:space="preserve">—</w:t>
            </w:r>
          </w:p>
        </w:tc>
        <w:tc>
          <w:tcPr>
            <w:tcW w:w="1337" w:type="dxa"/>
          </w:tcPr>
          <w:p>
            <w:pPr/>
            <w:r>
              <w:t xml:space="preserve">Vendor–rider relationships are personal and informal</w:t>
            </w:r>
          </w:p>
        </w:tc>
        <w:tc>
          <w:tcPr>
            <w:tcW w:w="2335" w:type="dxa"/>
          </w:tcPr>
          <w:p>
            <w:pPr/>
            <w:r>
              <w:t xml:space="preserve">Vendors join in one day with a simple agreement, trial period and wallet</w:t>
            </w:r>
          </w:p>
        </w:tc>
        <w:tc>
          <w:tcPr>
            <w:tcW w:w="1583" w:type="dxa"/>
          </w:tcPr>
          <w:p>
            <w:pPr/>
            <w:r>
              <w:t xml:space="preserve">Onboarding process; trial rule; vendor agreement</w:t>
            </w:r>
          </w:p>
        </w:tc>
        <w:tc>
          <w:tcPr>
            <w:tcW w:w="910" w:type="dxa"/>
          </w:tcPr>
          <w:p>
            <w:pPr/>
            <w:r>
              <w:t xml:space="preserve">—</w:t>
            </w:r>
          </w:p>
        </w:tc>
        <w:tc>
          <w:tcPr>
            <w:tcW w:w="1027" w:type="dxa"/>
          </w:tcPr>
          <w:p>
            <w:pPr/>
            <w:r>
              <w:t xml:space="preserve">Should</w:t>
            </w:r>
          </w:p>
        </w:tc>
      </w:tr>
    </w:tbl>
    <w:p>
      <w:pPr>
        <w:pStyle w:val="Heading2"/>
      </w:pPr>
      <w:r>
        <w:t xml:space="preserve">9. Business requirements</w:t>
      </w:r>
    </w:p>
    <w:p>
      <w:pPr/>
      <w:r>
        <w:t xml:space="preserve">23 requirements, stated as business needs rather than system features, each traced to a gap, an objective and the stakeholder who owns it. "The business shall" means Airand as an organisation; how a system supports each is for the SRS.</w:t>
      </w:r>
    </w:p>
    <w:p>
      <w:pPr/>
      <w:r>
        <w:rPr>
          <w:b/>
        </w:rPr>
        <w:t xml:space="preserve">Operating model and capacity</w:t>
      </w:r>
    </w:p>
    <w:tbl>
      <w:tblPr>
        <w:tblStyle w:val="TableGrid"/>
        <w:tblW w:w="0" w:type="auto"/>
        <w:tblLayout w:type="fixed"/>
        <w:tblLook w:val="04A0" w:firstRow="1" w:lastRow="0" w:firstColumn="0" w:lastColumn="0" w:noHBand="0" w:noVBand="1"/>
      </w:tblPr>
      <w:tblGrid>
        <w:gridCol w:w="868"/>
        <w:gridCol w:w="4605"/>
        <w:gridCol w:w="720"/>
        <w:gridCol w:w="1225"/>
        <w:gridCol w:w="915"/>
        <w:gridCol w:w="1027"/>
      </w:tblGrid>
      <w:tr>
        <w:trPr>
          <w:tblHeader/>
        </w:trPr>
        <w:tc>
          <w:tcPr>
            <w:tcW w:w="868" w:type="dxa"/>
            <w:shd w:val="clear" w:color="auto" w:fill="F2F2F2"/>
          </w:tcPr>
          <w:p>
            <w:pPr/>
            <w:r>
              <w:t xml:space="preserve">ID</w:t>
            </w:r>
          </w:p>
        </w:tc>
        <w:tc>
          <w:tcPr>
            <w:tcW w:w="4605" w:type="dxa"/>
            <w:shd w:val="clear" w:color="auto" w:fill="F2F2F2"/>
          </w:tcPr>
          <w:p>
            <w:pPr/>
            <w:r>
              <w:t xml:space="preserve">Requirement</w:t>
            </w:r>
          </w:p>
        </w:tc>
        <w:tc>
          <w:tcPr>
            <w:tcW w:w="720" w:type="dxa"/>
            <w:shd w:val="clear" w:color="auto" w:fill="F2F2F2"/>
          </w:tcPr>
          <w:p>
            <w:pPr/>
            <w:r>
              <w:t xml:space="preserve">Gap</w:t>
            </w:r>
          </w:p>
        </w:tc>
        <w:tc>
          <w:tcPr>
            <w:tcW w:w="1225" w:type="dxa"/>
            <w:shd w:val="clear" w:color="auto" w:fill="F2F2F2"/>
          </w:tcPr>
          <w:p>
            <w:pPr/>
            <w:r>
              <w:t xml:space="preserve">Objective</w:t>
            </w:r>
          </w:p>
        </w:tc>
        <w:tc>
          <w:tcPr>
            <w:tcW w:w="915" w:type="dxa"/>
            <w:shd w:val="clear" w:color="auto" w:fill="F2F2F2"/>
          </w:tcPr>
          <w:p>
            <w:pPr/>
            <w:r>
              <w:t xml:space="preserve">Owner</w:t>
            </w:r>
          </w:p>
        </w:tc>
        <w:tc>
          <w:tcPr>
            <w:tcW w:w="1027" w:type="dxa"/>
            <w:shd w:val="clear" w:color="auto" w:fill="F2F2F2"/>
          </w:tcPr>
          <w:p>
            <w:pPr/>
            <w:r>
              <w:t xml:space="preserve">Priority</w:t>
            </w:r>
          </w:p>
        </w:tc>
      </w:tr>
      <w:tr>
        <w:tc>
          <w:tcPr>
            <w:tcW w:w="868" w:type="dxa"/>
          </w:tcPr>
          <w:p>
            <w:pPr/>
            <w:r>
              <w:t xml:space="preserve">BR-01</w:t>
            </w:r>
          </w:p>
        </w:tc>
        <w:tc>
          <w:tcPr>
            <w:tcW w:w="4605" w:type="dxa"/>
          </w:tcPr>
          <w:p>
            <w:pPr/>
            <w:r>
              <w:t xml:space="preserve">The business shall operate in defined zones, each with a hub location and a boundary within which deliveries are accepted</w:t>
            </w:r>
          </w:p>
        </w:tc>
        <w:tc>
          <w:tcPr>
            <w:tcW w:w="720" w:type="dxa"/>
          </w:tcPr>
          <w:p>
            <w:pPr/>
            <w:r>
              <w:t xml:space="preserve">G-01</w:t>
            </w:r>
          </w:p>
        </w:tc>
        <w:tc>
          <w:tcPr>
            <w:tcW w:w="1225" w:type="dxa"/>
          </w:tcPr>
          <w:p>
            <w:pPr/>
            <w:r>
              <w:t xml:space="preserve">OBJ-01</w:t>
            </w:r>
          </w:p>
        </w:tc>
        <w:tc>
          <w:tcPr>
            <w:tcW w:w="915" w:type="dxa"/>
          </w:tcPr>
          <w:p>
            <w:pPr/>
            <w:r>
              <w:t xml:space="preserve">S-05</w:t>
            </w:r>
          </w:p>
        </w:tc>
        <w:tc>
          <w:tcPr>
            <w:tcW w:w="1027" w:type="dxa"/>
          </w:tcPr>
          <w:p>
            <w:pPr/>
            <w:r>
              <w:t xml:space="preserve">Must</w:t>
            </w:r>
          </w:p>
        </w:tc>
      </w:tr>
      <w:tr>
        <w:tc>
          <w:tcPr>
            <w:tcW w:w="868" w:type="dxa"/>
          </w:tcPr>
          <w:p>
            <w:pPr/>
            <w:r>
              <w:t xml:space="preserve">BR-02</w:t>
            </w:r>
          </w:p>
        </w:tc>
        <w:tc>
          <w:tcPr>
            <w:tcW w:w="4605" w:type="dxa"/>
          </w:tcPr>
          <w:p>
            <w:pPr/>
            <w:r>
              <w:t xml:space="preserve">The business shall station a pool of trained cyclists at each zone hub during published operating hours, rostered so that capacity peaks between 7 and 11 PM</w:t>
            </w:r>
          </w:p>
        </w:tc>
        <w:tc>
          <w:tcPr>
            <w:tcW w:w="720" w:type="dxa"/>
          </w:tcPr>
          <w:p>
            <w:pPr/>
            <w:r>
              <w:t xml:space="preserve">G-01</w:t>
            </w:r>
          </w:p>
        </w:tc>
        <w:tc>
          <w:tcPr>
            <w:tcW w:w="1225" w:type="dxa"/>
          </w:tcPr>
          <w:p>
            <w:pPr/>
            <w:r>
              <w:t xml:space="preserve">OBJ-01</w:t>
            </w:r>
          </w:p>
        </w:tc>
        <w:tc>
          <w:tcPr>
            <w:tcW w:w="915" w:type="dxa"/>
          </w:tcPr>
          <w:p>
            <w:pPr/>
            <w:r>
              <w:t xml:space="preserve">S-05</w:t>
            </w:r>
          </w:p>
        </w:tc>
        <w:tc>
          <w:tcPr>
            <w:tcW w:w="1027" w:type="dxa"/>
          </w:tcPr>
          <w:p>
            <w:pPr/>
            <w:r>
              <w:t xml:space="preserve">Must</w:t>
            </w:r>
          </w:p>
        </w:tc>
      </w:tr>
      <w:tr>
        <w:tc>
          <w:tcPr>
            <w:tcW w:w="868" w:type="dxa"/>
          </w:tcPr>
          <w:p>
            <w:pPr/>
            <w:r>
              <w:t xml:space="preserve">BR-03</w:t>
            </w:r>
          </w:p>
        </w:tc>
        <w:tc>
          <w:tcPr>
            <w:tcW w:w="4605" w:type="dxa"/>
          </w:tcPr>
          <w:p>
            <w:pPr/>
            <w:r>
              <w:t xml:space="preserve">The business shall size each zone's cyclist pool from measured demand, reviewed at least monthly, so that the pool can break even at the published rate</w:t>
            </w:r>
          </w:p>
        </w:tc>
        <w:tc>
          <w:tcPr>
            <w:tcW w:w="720" w:type="dxa"/>
          </w:tcPr>
          <w:p>
            <w:pPr/>
            <w:r>
              <w:t xml:space="preserve">G-01</w:t>
            </w:r>
          </w:p>
        </w:tc>
        <w:tc>
          <w:tcPr>
            <w:tcW w:w="1225" w:type="dxa"/>
          </w:tcPr>
          <w:p>
            <w:pPr/>
            <w:r>
              <w:t xml:space="preserve">OBJ-04</w:t>
            </w:r>
          </w:p>
        </w:tc>
        <w:tc>
          <w:tcPr>
            <w:tcW w:w="915" w:type="dxa"/>
          </w:tcPr>
          <w:p>
            <w:pPr/>
            <w:r>
              <w:t xml:space="preserve">S-05</w:t>
            </w:r>
          </w:p>
        </w:tc>
        <w:tc>
          <w:tcPr>
            <w:tcW w:w="1027" w:type="dxa"/>
          </w:tcPr>
          <w:p>
            <w:pPr/>
            <w:r>
              <w:t xml:space="preserve">Must</w:t>
            </w:r>
          </w:p>
        </w:tc>
      </w:tr>
      <w:tr>
        <w:tc>
          <w:tcPr>
            <w:tcW w:w="868" w:type="dxa"/>
          </w:tcPr>
          <w:p>
            <w:pPr/>
            <w:r>
              <w:t xml:space="preserve">BR-04</w:t>
            </w:r>
          </w:p>
        </w:tc>
        <w:tc>
          <w:tcPr>
            <w:tcW w:w="4605" w:type="dxa"/>
          </w:tcPr>
          <w:p>
            <w:pPr/>
            <w:r>
              <w:t xml:space="preserve">The business shall pay cyclists a guaranteed shift retainer rather than per-delivery only, so that cyclists remain available at the hub between jobs</w:t>
            </w:r>
          </w:p>
        </w:tc>
        <w:tc>
          <w:tcPr>
            <w:tcW w:w="720" w:type="dxa"/>
          </w:tcPr>
          <w:p>
            <w:pPr/>
            <w:r>
              <w:t xml:space="preserve">G-01</w:t>
            </w:r>
          </w:p>
        </w:tc>
        <w:tc>
          <w:tcPr>
            <w:tcW w:w="1225" w:type="dxa"/>
          </w:tcPr>
          <w:p>
            <w:pPr/>
            <w:r>
              <w:t xml:space="preserve">OBJ-01</w:t>
            </w:r>
          </w:p>
        </w:tc>
        <w:tc>
          <w:tcPr>
            <w:tcW w:w="915" w:type="dxa"/>
          </w:tcPr>
          <w:p>
            <w:pPr/>
            <w:r>
              <w:t xml:space="preserve">S-03</w:t>
            </w:r>
          </w:p>
        </w:tc>
        <w:tc>
          <w:tcPr>
            <w:tcW w:w="1027" w:type="dxa"/>
          </w:tcPr>
          <w:p>
            <w:pPr/>
            <w:r>
              <w:t xml:space="preserve">Must</w:t>
            </w:r>
          </w:p>
        </w:tc>
      </w:tr>
    </w:tbl>
    <w:p>
      <w:pPr/>
      <w:r>
        <w:rPr>
          <w:b/>
        </w:rPr>
        <w:t xml:space="preserve">Requesting and pricing</w:t>
      </w:r>
    </w:p>
    <w:tbl>
      <w:tblPr>
        <w:tblStyle w:val="TableGrid"/>
        <w:tblW w:w="0" w:type="auto"/>
        <w:tblLayout w:type="fixed"/>
        <w:tblLook w:val="04A0" w:firstRow="1" w:lastRow="0" w:firstColumn="0" w:lastColumn="0" w:noHBand="0" w:noVBand="1"/>
      </w:tblPr>
      <w:tblGrid>
        <w:gridCol w:w="868"/>
        <w:gridCol w:w="4605"/>
        <w:gridCol w:w="720"/>
        <w:gridCol w:w="1225"/>
        <w:gridCol w:w="915"/>
        <w:gridCol w:w="1027"/>
      </w:tblGrid>
      <w:tr>
        <w:trPr>
          <w:tblHeader/>
        </w:trPr>
        <w:tc>
          <w:tcPr>
            <w:tcW w:w="868" w:type="dxa"/>
            <w:shd w:val="clear" w:color="auto" w:fill="F2F2F2"/>
          </w:tcPr>
          <w:p>
            <w:pPr/>
            <w:r>
              <w:t xml:space="preserve">ID</w:t>
            </w:r>
          </w:p>
        </w:tc>
        <w:tc>
          <w:tcPr>
            <w:tcW w:w="4605" w:type="dxa"/>
            <w:shd w:val="clear" w:color="auto" w:fill="F2F2F2"/>
          </w:tcPr>
          <w:p>
            <w:pPr/>
            <w:r>
              <w:t xml:space="preserve">Requirement</w:t>
            </w:r>
          </w:p>
        </w:tc>
        <w:tc>
          <w:tcPr>
            <w:tcW w:w="720" w:type="dxa"/>
            <w:shd w:val="clear" w:color="auto" w:fill="F2F2F2"/>
          </w:tcPr>
          <w:p>
            <w:pPr/>
            <w:r>
              <w:t xml:space="preserve">Gap</w:t>
            </w:r>
          </w:p>
        </w:tc>
        <w:tc>
          <w:tcPr>
            <w:tcW w:w="1225" w:type="dxa"/>
            <w:shd w:val="clear" w:color="auto" w:fill="F2F2F2"/>
          </w:tcPr>
          <w:p>
            <w:pPr/>
            <w:r>
              <w:t xml:space="preserve">Objective</w:t>
            </w:r>
          </w:p>
        </w:tc>
        <w:tc>
          <w:tcPr>
            <w:tcW w:w="915" w:type="dxa"/>
            <w:shd w:val="clear" w:color="auto" w:fill="F2F2F2"/>
          </w:tcPr>
          <w:p>
            <w:pPr/>
            <w:r>
              <w:t xml:space="preserve">Owner</w:t>
            </w:r>
          </w:p>
        </w:tc>
        <w:tc>
          <w:tcPr>
            <w:tcW w:w="1027" w:type="dxa"/>
            <w:shd w:val="clear" w:color="auto" w:fill="F2F2F2"/>
          </w:tcPr>
          <w:p>
            <w:pPr/>
            <w:r>
              <w:t xml:space="preserve">Priority</w:t>
            </w:r>
          </w:p>
        </w:tc>
      </w:tr>
      <w:tr>
        <w:tc>
          <w:tcPr>
            <w:tcW w:w="868" w:type="dxa"/>
          </w:tcPr>
          <w:p>
            <w:pPr/>
            <w:r>
              <w:t xml:space="preserve">BR-05</w:t>
            </w:r>
          </w:p>
        </w:tc>
        <w:tc>
          <w:tcPr>
            <w:tcW w:w="4605" w:type="dxa"/>
          </w:tcPr>
          <w:p>
            <w:pPr/>
            <w:r>
              <w:t xml:space="preserve">The business shall allow an onboarded vendor to request a delivery for one of its own orders by supplying the drop-off address and the receiver's phone number; the pickup location is the vendor's registered address</w:t>
            </w:r>
          </w:p>
        </w:tc>
        <w:tc>
          <w:tcPr>
            <w:tcW w:w="720" w:type="dxa"/>
          </w:tcPr>
          <w:p>
            <w:pPr/>
            <w:r>
              <w:t xml:space="preserve">G-07</w:t>
            </w:r>
          </w:p>
        </w:tc>
        <w:tc>
          <w:tcPr>
            <w:tcW w:w="1225" w:type="dxa"/>
          </w:tcPr>
          <w:p>
            <w:pPr/>
            <w:r>
              <w:t xml:space="preserve">OBJ-01</w:t>
            </w:r>
          </w:p>
        </w:tc>
        <w:tc>
          <w:tcPr>
            <w:tcW w:w="915" w:type="dxa"/>
          </w:tcPr>
          <w:p>
            <w:pPr/>
            <w:r>
              <w:t xml:space="preserve">S-01</w:t>
            </w:r>
          </w:p>
        </w:tc>
        <w:tc>
          <w:tcPr>
            <w:tcW w:w="1027" w:type="dxa"/>
          </w:tcPr>
          <w:p>
            <w:pPr/>
            <w:r>
              <w:t xml:space="preserve">Must</w:t>
            </w:r>
          </w:p>
        </w:tc>
      </w:tr>
      <w:tr>
        <w:tc>
          <w:tcPr>
            <w:tcW w:w="868" w:type="dxa"/>
          </w:tcPr>
          <w:p>
            <w:pPr/>
            <w:r>
              <w:t xml:space="preserve">BR-06</w:t>
            </w:r>
          </w:p>
        </w:tc>
        <w:tc>
          <w:tcPr>
            <w:tcW w:w="4605" w:type="dxa"/>
          </w:tcPr>
          <w:p>
            <w:pPr/>
            <w:r>
              <w:t xml:space="preserve">The business shall charge one published fixed rate per delivery within a zone, the same at all hours, shown to the requester before the request is confirmed</w:t>
            </w:r>
          </w:p>
        </w:tc>
        <w:tc>
          <w:tcPr>
            <w:tcW w:w="720" w:type="dxa"/>
          </w:tcPr>
          <w:p>
            <w:pPr/>
            <w:r>
              <w:t xml:space="preserve">G-05</w:t>
            </w:r>
          </w:p>
        </w:tc>
        <w:tc>
          <w:tcPr>
            <w:tcW w:w="1225" w:type="dxa"/>
          </w:tcPr>
          <w:p>
            <w:pPr/>
            <w:r>
              <w:t xml:space="preserve">OBJ-03</w:t>
            </w:r>
          </w:p>
        </w:tc>
        <w:tc>
          <w:tcPr>
            <w:tcW w:w="915" w:type="dxa"/>
          </w:tcPr>
          <w:p>
            <w:pPr/>
            <w:r>
              <w:t xml:space="preserve">S-05</w:t>
            </w:r>
          </w:p>
        </w:tc>
        <w:tc>
          <w:tcPr>
            <w:tcW w:w="1027" w:type="dxa"/>
          </w:tcPr>
          <w:p>
            <w:pPr/>
            <w:r>
              <w:t xml:space="preserve">Must</w:t>
            </w:r>
          </w:p>
        </w:tc>
      </w:tr>
      <w:tr>
        <w:tc>
          <w:tcPr>
            <w:tcW w:w="868" w:type="dxa"/>
          </w:tcPr>
          <w:p>
            <w:pPr/>
            <w:r>
              <w:t xml:space="preserve">BR-07</w:t>
            </w:r>
          </w:p>
        </w:tc>
        <w:tc>
          <w:tcPr>
            <w:tcW w:w="4605" w:type="dxa"/>
          </w:tcPr>
          <w:p>
            <w:pPr/>
            <w:r>
              <w:t xml:space="preserve">The business shall accept a delivery request only once payment of the fixed rate is confirmed; an unpaid request shall not be assigned</w:t>
            </w:r>
          </w:p>
        </w:tc>
        <w:tc>
          <w:tcPr>
            <w:tcW w:w="720" w:type="dxa"/>
          </w:tcPr>
          <w:p>
            <w:pPr/>
            <w:r>
              <w:t xml:space="preserve">G-06</w:t>
            </w:r>
          </w:p>
        </w:tc>
        <w:tc>
          <w:tcPr>
            <w:tcW w:w="1225" w:type="dxa"/>
          </w:tcPr>
          <w:p>
            <w:pPr/>
            <w:r>
              <w:t xml:space="preserve">OBJ-03</w:t>
            </w:r>
          </w:p>
        </w:tc>
        <w:tc>
          <w:tcPr>
            <w:tcW w:w="915" w:type="dxa"/>
          </w:tcPr>
          <w:p>
            <w:pPr/>
            <w:r>
              <w:t xml:space="preserve">S-05</w:t>
            </w:r>
          </w:p>
        </w:tc>
        <w:tc>
          <w:tcPr>
            <w:tcW w:w="1027" w:type="dxa"/>
          </w:tcPr>
          <w:p>
            <w:pPr/>
            <w:r>
              <w:t xml:space="preserve">Must</w:t>
            </w:r>
          </w:p>
        </w:tc>
      </w:tr>
      <w:tr>
        <w:tc>
          <w:tcPr>
            <w:tcW w:w="868" w:type="dxa"/>
          </w:tcPr>
          <w:p>
            <w:pPr/>
            <w:r>
              <w:t xml:space="preserve">BR-08</w:t>
            </w:r>
          </w:p>
        </w:tc>
        <w:tc>
          <w:tcPr>
            <w:tcW w:w="4605" w:type="dxa"/>
          </w:tcPr>
          <w:p>
            <w:pPr/>
            <w:r>
              <w:t xml:space="preserve">The business shall decline, with a reason, any request whose drop-off lies outside the zone boundary</w:t>
            </w:r>
          </w:p>
        </w:tc>
        <w:tc>
          <w:tcPr>
            <w:tcW w:w="720" w:type="dxa"/>
          </w:tcPr>
          <w:p>
            <w:pPr/>
            <w:r>
              <w:t xml:space="preserve">G-01</w:t>
            </w:r>
          </w:p>
        </w:tc>
        <w:tc>
          <w:tcPr>
            <w:tcW w:w="1225" w:type="dxa"/>
          </w:tcPr>
          <w:p>
            <w:pPr/>
            <w:r>
              <w:t xml:space="preserve">OBJ-01</w:t>
            </w:r>
          </w:p>
        </w:tc>
        <w:tc>
          <w:tcPr>
            <w:tcW w:w="915" w:type="dxa"/>
          </w:tcPr>
          <w:p>
            <w:pPr/>
            <w:r>
              <w:t xml:space="preserve">S-04</w:t>
            </w:r>
          </w:p>
        </w:tc>
        <w:tc>
          <w:tcPr>
            <w:tcW w:w="1027" w:type="dxa"/>
          </w:tcPr>
          <w:p>
            <w:pPr/>
            <w:r>
              <w:t xml:space="preserve">Must</w:t>
            </w:r>
          </w:p>
        </w:tc>
      </w:tr>
    </w:tbl>
    <w:p>
      <w:pPr/>
      <w:r>
        <w:rPr>
          <w:b/>
        </w:rPr>
        <w:t xml:space="preserve">Assignment and fulfilment</w:t>
      </w:r>
    </w:p>
    <w:tbl>
      <w:tblPr>
        <w:tblStyle w:val="TableGrid"/>
        <w:tblW w:w="0" w:type="auto"/>
        <w:tblLayout w:type="fixed"/>
        <w:tblLook w:val="04A0" w:firstRow="1" w:lastRow="0" w:firstColumn="0" w:lastColumn="0" w:noHBand="0" w:noVBand="1"/>
      </w:tblPr>
      <w:tblGrid>
        <w:gridCol w:w="868"/>
        <w:gridCol w:w="3982"/>
        <w:gridCol w:w="1343"/>
        <w:gridCol w:w="1225"/>
        <w:gridCol w:w="915"/>
        <w:gridCol w:w="1027"/>
      </w:tblGrid>
      <w:tr>
        <w:trPr>
          <w:tblHeader/>
        </w:trPr>
        <w:tc>
          <w:tcPr>
            <w:tcW w:w="868" w:type="dxa"/>
            <w:shd w:val="clear" w:color="auto" w:fill="F2F2F2"/>
          </w:tcPr>
          <w:p>
            <w:pPr/>
            <w:r>
              <w:t xml:space="preserve">ID</w:t>
            </w:r>
          </w:p>
        </w:tc>
        <w:tc>
          <w:tcPr>
            <w:tcW w:w="3982" w:type="dxa"/>
            <w:shd w:val="clear" w:color="auto" w:fill="F2F2F2"/>
          </w:tcPr>
          <w:p>
            <w:pPr/>
            <w:r>
              <w:t xml:space="preserve">Requirement</w:t>
            </w:r>
          </w:p>
        </w:tc>
        <w:tc>
          <w:tcPr>
            <w:tcW w:w="1343" w:type="dxa"/>
            <w:shd w:val="clear" w:color="auto" w:fill="F2F2F2"/>
          </w:tcPr>
          <w:p>
            <w:pPr/>
            <w:r>
              <w:t xml:space="preserve">Gap</w:t>
            </w:r>
          </w:p>
        </w:tc>
        <w:tc>
          <w:tcPr>
            <w:tcW w:w="1225" w:type="dxa"/>
            <w:shd w:val="clear" w:color="auto" w:fill="F2F2F2"/>
          </w:tcPr>
          <w:p>
            <w:pPr/>
            <w:r>
              <w:t xml:space="preserve">Objective</w:t>
            </w:r>
          </w:p>
        </w:tc>
        <w:tc>
          <w:tcPr>
            <w:tcW w:w="915" w:type="dxa"/>
            <w:shd w:val="clear" w:color="auto" w:fill="F2F2F2"/>
          </w:tcPr>
          <w:p>
            <w:pPr/>
            <w:r>
              <w:t xml:space="preserve">Owner</w:t>
            </w:r>
          </w:p>
        </w:tc>
        <w:tc>
          <w:tcPr>
            <w:tcW w:w="1027" w:type="dxa"/>
            <w:shd w:val="clear" w:color="auto" w:fill="F2F2F2"/>
          </w:tcPr>
          <w:p>
            <w:pPr/>
            <w:r>
              <w:t xml:space="preserve">Priority</w:t>
            </w:r>
          </w:p>
        </w:tc>
      </w:tr>
      <w:tr>
        <w:tc>
          <w:tcPr>
            <w:tcW w:w="868" w:type="dxa"/>
          </w:tcPr>
          <w:p>
            <w:pPr/>
            <w:r>
              <w:t xml:space="preserve">BR-09</w:t>
            </w:r>
          </w:p>
        </w:tc>
        <w:tc>
          <w:tcPr>
            <w:tcW w:w="3982" w:type="dxa"/>
          </w:tcPr>
          <w:p>
            <w:pPr/>
            <w:r>
              <w:t xml:space="preserve">The business shall assign each paid request to an available cyclist automatically, according to the assignment rule in section 10, without manual intervention in the normal case</w:t>
            </w:r>
          </w:p>
        </w:tc>
        <w:tc>
          <w:tcPr>
            <w:tcW w:w="1343" w:type="dxa"/>
          </w:tcPr>
          <w:p>
            <w:pPr/>
            <w:r>
              <w:t xml:space="preserve">G-02</w:t>
            </w:r>
          </w:p>
        </w:tc>
        <w:tc>
          <w:tcPr>
            <w:tcW w:w="1225" w:type="dxa"/>
          </w:tcPr>
          <w:p>
            <w:pPr/>
            <w:r>
              <w:t xml:space="preserve">OBJ-01</w:t>
            </w:r>
          </w:p>
        </w:tc>
        <w:tc>
          <w:tcPr>
            <w:tcW w:w="915" w:type="dxa"/>
          </w:tcPr>
          <w:p>
            <w:pPr/>
            <w:r>
              <w:t xml:space="preserve">S-04</w:t>
            </w:r>
          </w:p>
        </w:tc>
        <w:tc>
          <w:tcPr>
            <w:tcW w:w="1027" w:type="dxa"/>
          </w:tcPr>
          <w:p>
            <w:pPr/>
            <w:r>
              <w:t xml:space="preserve">Must</w:t>
            </w:r>
          </w:p>
        </w:tc>
      </w:tr>
      <w:tr>
        <w:tc>
          <w:tcPr>
            <w:tcW w:w="868" w:type="dxa"/>
          </w:tcPr>
          <w:p>
            <w:pPr/>
            <w:r>
              <w:t xml:space="preserve">BR-10</w:t>
            </w:r>
          </w:p>
        </w:tc>
        <w:tc>
          <w:tcPr>
            <w:tcW w:w="3982" w:type="dxa"/>
          </w:tcPr>
          <w:p>
            <w:pPr/>
            <w:r>
              <w:t xml:space="preserve">The business shall enable a system admin to see every active request and cyclist in the zone and to reassign, cancel or escalate any delivery</w:t>
            </w:r>
          </w:p>
        </w:tc>
        <w:tc>
          <w:tcPr>
            <w:tcW w:w="1343" w:type="dxa"/>
          </w:tcPr>
          <w:p>
            <w:pPr/>
            <w:r>
              <w:t xml:space="preserve">G-02, G-04</w:t>
            </w:r>
          </w:p>
        </w:tc>
        <w:tc>
          <w:tcPr>
            <w:tcW w:w="1225" w:type="dxa"/>
          </w:tcPr>
          <w:p>
            <w:pPr/>
            <w:r>
              <w:t xml:space="preserve">OBJ-01</w:t>
            </w:r>
          </w:p>
        </w:tc>
        <w:tc>
          <w:tcPr>
            <w:tcW w:w="915" w:type="dxa"/>
          </w:tcPr>
          <w:p>
            <w:pPr/>
            <w:r>
              <w:t xml:space="preserve">S-04</w:t>
            </w:r>
          </w:p>
        </w:tc>
        <w:tc>
          <w:tcPr>
            <w:tcW w:w="1027" w:type="dxa"/>
          </w:tcPr>
          <w:p>
            <w:pPr/>
            <w:r>
              <w:t xml:space="preserve">Must</w:t>
            </w:r>
          </w:p>
        </w:tc>
      </w:tr>
      <w:tr>
        <w:tc>
          <w:tcPr>
            <w:tcW w:w="868" w:type="dxa"/>
          </w:tcPr>
          <w:p>
            <w:pPr/>
            <w:r>
              <w:t xml:space="preserve">BR-11</w:t>
            </w:r>
          </w:p>
        </w:tc>
        <w:tc>
          <w:tcPr>
            <w:tcW w:w="3982" w:type="dxa"/>
          </w:tcPr>
          <w:p>
            <w:pPr/>
            <w:r>
              <w:t xml:space="preserve">The business shall record the moment the vendor hands food to the cyclist and the moment the receiver confirms receipt, so that pickup wait and delivery time are measurable for every delivery</w:t>
            </w:r>
          </w:p>
        </w:tc>
        <w:tc>
          <w:tcPr>
            <w:tcW w:w="1343" w:type="dxa"/>
          </w:tcPr>
          <w:p>
            <w:pPr/>
            <w:r>
              <w:t xml:space="preserve">G-03</w:t>
            </w:r>
          </w:p>
        </w:tc>
        <w:tc>
          <w:tcPr>
            <w:tcW w:w="1225" w:type="dxa"/>
          </w:tcPr>
          <w:p>
            <w:pPr/>
            <w:r>
              <w:t xml:space="preserve">OBJ-02, OBJ-05</w:t>
            </w:r>
          </w:p>
        </w:tc>
        <w:tc>
          <w:tcPr>
            <w:tcW w:w="915" w:type="dxa"/>
          </w:tcPr>
          <w:p>
            <w:pPr/>
            <w:r>
              <w:t xml:space="preserve">S-03</w:t>
            </w:r>
          </w:p>
        </w:tc>
        <w:tc>
          <w:tcPr>
            <w:tcW w:w="1027" w:type="dxa"/>
          </w:tcPr>
          <w:p>
            <w:pPr/>
            <w:r>
              <w:t xml:space="preserve">Must</w:t>
            </w:r>
          </w:p>
        </w:tc>
      </w:tr>
      <w:tr>
        <w:tc>
          <w:tcPr>
            <w:tcW w:w="868" w:type="dxa"/>
          </w:tcPr>
          <w:p>
            <w:pPr/>
            <w:r>
              <w:t xml:space="preserve">BR-12</w:t>
            </w:r>
          </w:p>
        </w:tc>
        <w:tc>
          <w:tcPr>
            <w:tcW w:w="3982" w:type="dxa"/>
          </w:tcPr>
          <w:p>
            <w:pPr/>
            <w:r>
              <w:t xml:space="preserve">The business shall confirm delivery to the correct person by a one-time verification code sent to the receiver's phone and presented to the cyclist at handover</w:t>
            </w:r>
          </w:p>
        </w:tc>
        <w:tc>
          <w:tcPr>
            <w:tcW w:w="1343" w:type="dxa"/>
          </w:tcPr>
          <w:p>
            <w:pPr/>
            <w:r>
              <w:t xml:space="preserve">G-03</w:t>
            </w:r>
          </w:p>
        </w:tc>
        <w:tc>
          <w:tcPr>
            <w:tcW w:w="1225" w:type="dxa"/>
          </w:tcPr>
          <w:p>
            <w:pPr/>
            <w:r>
              <w:t xml:space="preserve">OBJ-05</w:t>
            </w:r>
          </w:p>
        </w:tc>
        <w:tc>
          <w:tcPr>
            <w:tcW w:w="915" w:type="dxa"/>
          </w:tcPr>
          <w:p>
            <w:pPr/>
            <w:r>
              <w:t xml:space="preserve">S-02</w:t>
            </w:r>
          </w:p>
        </w:tc>
        <w:tc>
          <w:tcPr>
            <w:tcW w:w="1027" w:type="dxa"/>
          </w:tcPr>
          <w:p>
            <w:pPr/>
            <w:r>
              <w:t xml:space="preserve">Must</w:t>
            </w:r>
          </w:p>
        </w:tc>
      </w:tr>
      <w:tr>
        <w:tc>
          <w:tcPr>
            <w:tcW w:w="868" w:type="dxa"/>
          </w:tcPr>
          <w:p>
            <w:pPr/>
            <w:r>
              <w:t xml:space="preserve">BR-13</w:t>
            </w:r>
          </w:p>
        </w:tc>
        <w:tc>
          <w:tcPr>
            <w:tcW w:w="3982" w:type="dxa"/>
          </w:tcPr>
          <w:p>
            <w:pPr/>
            <w:r>
              <w:t xml:space="preserve">The business shall define and follow an exception procedure when a receiver cannot be reached, when food is not ready, or when a cyclist cannot complete a job, and shall record the reason and outcome of every exception</w:t>
            </w:r>
          </w:p>
        </w:tc>
        <w:tc>
          <w:tcPr>
            <w:tcW w:w="1343" w:type="dxa"/>
          </w:tcPr>
          <w:p>
            <w:pPr/>
            <w:r>
              <w:t xml:space="preserve">G-03</w:t>
            </w:r>
          </w:p>
        </w:tc>
        <w:tc>
          <w:tcPr>
            <w:tcW w:w="1225" w:type="dxa"/>
          </w:tcPr>
          <w:p>
            <w:pPr/>
            <w:r>
              <w:t xml:space="preserve">OBJ-05</w:t>
            </w:r>
          </w:p>
        </w:tc>
        <w:tc>
          <w:tcPr>
            <w:tcW w:w="915" w:type="dxa"/>
          </w:tcPr>
          <w:p>
            <w:pPr/>
            <w:r>
              <w:t xml:space="preserve">S-04</w:t>
            </w:r>
          </w:p>
        </w:tc>
        <w:tc>
          <w:tcPr>
            <w:tcW w:w="1027" w:type="dxa"/>
          </w:tcPr>
          <w:p>
            <w:pPr/>
            <w:r>
              <w:t xml:space="preserve">Must</w:t>
            </w:r>
          </w:p>
        </w:tc>
      </w:tr>
    </w:tbl>
    <w:p>
      <w:pPr/>
      <w:r>
        <w:rPr>
          <w:b/>
        </w:rPr>
        <w:t xml:space="preserve">Visibility and records</w:t>
      </w:r>
    </w:p>
    <w:tbl>
      <w:tblPr>
        <w:tblStyle w:val="TableGrid"/>
        <w:tblW w:w="0" w:type="auto"/>
        <w:tblLayout w:type="fixed"/>
        <w:tblLook w:val="04A0" w:firstRow="1" w:lastRow="0" w:firstColumn="0" w:lastColumn="0" w:noHBand="0" w:noVBand="1"/>
      </w:tblPr>
      <w:tblGrid>
        <w:gridCol w:w="868"/>
        <w:gridCol w:w="4605"/>
        <w:gridCol w:w="720"/>
        <w:gridCol w:w="1225"/>
        <w:gridCol w:w="915"/>
        <w:gridCol w:w="1027"/>
      </w:tblGrid>
      <w:tr>
        <w:trPr>
          <w:tblHeader/>
        </w:trPr>
        <w:tc>
          <w:tcPr>
            <w:tcW w:w="868" w:type="dxa"/>
            <w:shd w:val="clear" w:color="auto" w:fill="F2F2F2"/>
          </w:tcPr>
          <w:p>
            <w:pPr/>
            <w:r>
              <w:t xml:space="preserve">ID</w:t>
            </w:r>
          </w:p>
        </w:tc>
        <w:tc>
          <w:tcPr>
            <w:tcW w:w="4605" w:type="dxa"/>
            <w:shd w:val="clear" w:color="auto" w:fill="F2F2F2"/>
          </w:tcPr>
          <w:p>
            <w:pPr/>
            <w:r>
              <w:t xml:space="preserve">Requirement</w:t>
            </w:r>
          </w:p>
        </w:tc>
        <w:tc>
          <w:tcPr>
            <w:tcW w:w="720" w:type="dxa"/>
            <w:shd w:val="clear" w:color="auto" w:fill="F2F2F2"/>
          </w:tcPr>
          <w:p>
            <w:pPr/>
            <w:r>
              <w:t xml:space="preserve">Gap</w:t>
            </w:r>
          </w:p>
        </w:tc>
        <w:tc>
          <w:tcPr>
            <w:tcW w:w="1225" w:type="dxa"/>
            <w:shd w:val="clear" w:color="auto" w:fill="F2F2F2"/>
          </w:tcPr>
          <w:p>
            <w:pPr/>
            <w:r>
              <w:t xml:space="preserve">Objective</w:t>
            </w:r>
          </w:p>
        </w:tc>
        <w:tc>
          <w:tcPr>
            <w:tcW w:w="915" w:type="dxa"/>
            <w:shd w:val="clear" w:color="auto" w:fill="F2F2F2"/>
          </w:tcPr>
          <w:p>
            <w:pPr/>
            <w:r>
              <w:t xml:space="preserve">Owner</w:t>
            </w:r>
          </w:p>
        </w:tc>
        <w:tc>
          <w:tcPr>
            <w:tcW w:w="1027" w:type="dxa"/>
            <w:shd w:val="clear" w:color="auto" w:fill="F2F2F2"/>
          </w:tcPr>
          <w:p>
            <w:pPr/>
            <w:r>
              <w:t xml:space="preserve">Priority</w:t>
            </w:r>
          </w:p>
        </w:tc>
      </w:tr>
      <w:tr>
        <w:tc>
          <w:tcPr>
            <w:tcW w:w="868" w:type="dxa"/>
          </w:tcPr>
          <w:p>
            <w:pPr/>
            <w:r>
              <w:t xml:space="preserve">BR-14</w:t>
            </w:r>
          </w:p>
        </w:tc>
        <w:tc>
          <w:tcPr>
            <w:tcW w:w="4605" w:type="dxa"/>
          </w:tcPr>
          <w:p>
            <w:pPr/>
            <w:r>
              <w:t xml:space="preserve">The business shall give every receiver, in the same message as the verification code, a way to see the expected arrival of their delivery, limited to what concerns them: when it was picked up and when it arrives, without payment, assignment or other internal details</w:t>
            </w:r>
          </w:p>
        </w:tc>
        <w:tc>
          <w:tcPr>
            <w:tcW w:w="720" w:type="dxa"/>
          </w:tcPr>
          <w:p>
            <w:pPr/>
            <w:r>
              <w:t xml:space="preserve">G-04</w:t>
            </w:r>
          </w:p>
        </w:tc>
        <w:tc>
          <w:tcPr>
            <w:tcW w:w="1225" w:type="dxa"/>
          </w:tcPr>
          <w:p>
            <w:pPr/>
            <w:r>
              <w:t xml:space="preserve">OBJ-02</w:t>
            </w:r>
          </w:p>
        </w:tc>
        <w:tc>
          <w:tcPr>
            <w:tcW w:w="915" w:type="dxa"/>
          </w:tcPr>
          <w:p>
            <w:pPr/>
            <w:r>
              <w:t xml:space="preserve">S-02</w:t>
            </w:r>
          </w:p>
        </w:tc>
        <w:tc>
          <w:tcPr>
            <w:tcW w:w="1027" w:type="dxa"/>
          </w:tcPr>
          <w:p>
            <w:pPr/>
            <w:r>
              <w:t xml:space="preserve">Must</w:t>
            </w:r>
          </w:p>
        </w:tc>
      </w:tr>
      <w:tr>
        <w:tc>
          <w:tcPr>
            <w:tcW w:w="868" w:type="dxa"/>
          </w:tcPr>
          <w:p>
            <w:pPr/>
            <w:r>
              <w:t xml:space="preserve">BR-15</w:t>
            </w:r>
          </w:p>
        </w:tc>
        <w:tc>
          <w:tcPr>
            <w:tcW w:w="4605" w:type="dxa"/>
          </w:tcPr>
          <w:p>
            <w:pPr/>
            <w:r>
              <w:t xml:space="preserve">The business shall give each vendor a view of its active deliveries and a history of completed and failed deliveries with timestamps, fees paid and outcomes</w:t>
            </w:r>
          </w:p>
        </w:tc>
        <w:tc>
          <w:tcPr>
            <w:tcW w:w="720" w:type="dxa"/>
          </w:tcPr>
          <w:p>
            <w:pPr/>
            <w:r>
              <w:t xml:space="preserve">G-04</w:t>
            </w:r>
          </w:p>
        </w:tc>
        <w:tc>
          <w:tcPr>
            <w:tcW w:w="1225" w:type="dxa"/>
          </w:tcPr>
          <w:p>
            <w:pPr/>
            <w:r>
              <w:t xml:space="preserve">OBJ-05</w:t>
            </w:r>
          </w:p>
        </w:tc>
        <w:tc>
          <w:tcPr>
            <w:tcW w:w="915" w:type="dxa"/>
          </w:tcPr>
          <w:p>
            <w:pPr/>
            <w:r>
              <w:t xml:space="preserve">S-01</w:t>
            </w:r>
          </w:p>
        </w:tc>
        <w:tc>
          <w:tcPr>
            <w:tcW w:w="1027" w:type="dxa"/>
          </w:tcPr>
          <w:p>
            <w:pPr/>
            <w:r>
              <w:t xml:space="preserve">Must</w:t>
            </w:r>
          </w:p>
        </w:tc>
      </w:tr>
      <w:tr>
        <w:tc>
          <w:tcPr>
            <w:tcW w:w="868" w:type="dxa"/>
          </w:tcPr>
          <w:p>
            <w:pPr/>
            <w:r>
              <w:t xml:space="preserve">BR-16</w:t>
            </w:r>
          </w:p>
        </w:tc>
        <w:tc>
          <w:tcPr>
            <w:tcW w:w="4605" w:type="dxa"/>
          </w:tcPr>
          <w:p>
            <w:pPr/>
            <w:r>
              <w:t xml:space="preserve">The business shall produce a weekly statement for each vendor from the delivery record, listing deliveries, fees paid and any exceptions</w:t>
            </w:r>
          </w:p>
        </w:tc>
        <w:tc>
          <w:tcPr>
            <w:tcW w:w="720" w:type="dxa"/>
          </w:tcPr>
          <w:p>
            <w:pPr/>
            <w:r>
              <w:t xml:space="preserve">G-06</w:t>
            </w:r>
          </w:p>
        </w:tc>
        <w:tc>
          <w:tcPr>
            <w:tcW w:w="1225" w:type="dxa"/>
          </w:tcPr>
          <w:p>
            <w:pPr/>
            <w:r>
              <w:t xml:space="preserve">OBJ-05</w:t>
            </w:r>
          </w:p>
        </w:tc>
        <w:tc>
          <w:tcPr>
            <w:tcW w:w="915" w:type="dxa"/>
          </w:tcPr>
          <w:p>
            <w:pPr/>
            <w:r>
              <w:t xml:space="preserve">S-01</w:t>
            </w:r>
          </w:p>
        </w:tc>
        <w:tc>
          <w:tcPr>
            <w:tcW w:w="1027" w:type="dxa"/>
          </w:tcPr>
          <w:p>
            <w:pPr/>
            <w:r>
              <w:t xml:space="preserve">Must</w:t>
            </w:r>
          </w:p>
        </w:tc>
      </w:tr>
      <w:tr>
        <w:tc>
          <w:tcPr>
            <w:tcW w:w="868" w:type="dxa"/>
          </w:tcPr>
          <w:p>
            <w:pPr/>
            <w:r>
              <w:t xml:space="preserve">BR-17</w:t>
            </w:r>
          </w:p>
        </w:tc>
        <w:tc>
          <w:tcPr>
            <w:tcW w:w="4605" w:type="dxa"/>
          </w:tcPr>
          <w:p>
            <w:pPr/>
            <w:r>
              <w:t xml:space="preserve">The business shall report, for management, delivery volume, request-to-assignment time, pickup wait, delivery time, failure rate, revenue and cyclist utilisation by zone, day and hour</w:t>
            </w:r>
          </w:p>
        </w:tc>
        <w:tc>
          <w:tcPr>
            <w:tcW w:w="720" w:type="dxa"/>
          </w:tcPr>
          <w:p>
            <w:pPr/>
            <w:r>
              <w:t xml:space="preserve">G-08</w:t>
            </w:r>
          </w:p>
        </w:tc>
        <w:tc>
          <w:tcPr>
            <w:tcW w:w="1225" w:type="dxa"/>
          </w:tcPr>
          <w:p>
            <w:pPr/>
            <w:r>
              <w:t xml:space="preserve">OBJ-04</w:t>
            </w:r>
          </w:p>
        </w:tc>
        <w:tc>
          <w:tcPr>
            <w:tcW w:w="915" w:type="dxa"/>
          </w:tcPr>
          <w:p>
            <w:pPr/>
            <w:r>
              <w:t xml:space="preserve">S-05</w:t>
            </w:r>
          </w:p>
        </w:tc>
        <w:tc>
          <w:tcPr>
            <w:tcW w:w="1027" w:type="dxa"/>
          </w:tcPr>
          <w:p>
            <w:pPr/>
            <w:r>
              <w:t xml:space="preserve">Should</w:t>
            </w:r>
          </w:p>
        </w:tc>
      </w:tr>
    </w:tbl>
    <w:p>
      <w:pPr/>
      <w:r>
        <w:rPr>
          <w:b/>
        </w:rPr>
        <w:t xml:space="preserve">Onboarding, workforce and compliance</w:t>
      </w:r>
    </w:p>
    <w:tbl>
      <w:tblPr>
        <w:tblStyle w:val="TableGrid"/>
        <w:tblW w:w="0" w:type="auto"/>
        <w:tblLayout w:type="fixed"/>
        <w:tblLook w:val="04A0" w:firstRow="1" w:lastRow="0" w:firstColumn="0" w:lastColumn="0" w:noHBand="0" w:noVBand="1"/>
      </w:tblPr>
      <w:tblGrid>
        <w:gridCol w:w="868"/>
        <w:gridCol w:w="3982"/>
        <w:gridCol w:w="1343"/>
        <w:gridCol w:w="1225"/>
        <w:gridCol w:w="915"/>
        <w:gridCol w:w="1027"/>
      </w:tblGrid>
      <w:tr>
        <w:trPr>
          <w:tblHeader/>
        </w:trPr>
        <w:tc>
          <w:tcPr>
            <w:tcW w:w="868" w:type="dxa"/>
            <w:shd w:val="clear" w:color="auto" w:fill="F2F2F2"/>
          </w:tcPr>
          <w:p>
            <w:pPr/>
            <w:r>
              <w:t xml:space="preserve">ID</w:t>
            </w:r>
          </w:p>
        </w:tc>
        <w:tc>
          <w:tcPr>
            <w:tcW w:w="3982" w:type="dxa"/>
            <w:shd w:val="clear" w:color="auto" w:fill="F2F2F2"/>
          </w:tcPr>
          <w:p>
            <w:pPr/>
            <w:r>
              <w:t xml:space="preserve">Requirement</w:t>
            </w:r>
          </w:p>
        </w:tc>
        <w:tc>
          <w:tcPr>
            <w:tcW w:w="1343" w:type="dxa"/>
            <w:shd w:val="clear" w:color="auto" w:fill="F2F2F2"/>
          </w:tcPr>
          <w:p>
            <w:pPr/>
            <w:r>
              <w:t xml:space="preserve">Gap</w:t>
            </w:r>
          </w:p>
        </w:tc>
        <w:tc>
          <w:tcPr>
            <w:tcW w:w="1225" w:type="dxa"/>
            <w:shd w:val="clear" w:color="auto" w:fill="F2F2F2"/>
          </w:tcPr>
          <w:p>
            <w:pPr/>
            <w:r>
              <w:t xml:space="preserve">Objective</w:t>
            </w:r>
          </w:p>
        </w:tc>
        <w:tc>
          <w:tcPr>
            <w:tcW w:w="915" w:type="dxa"/>
            <w:shd w:val="clear" w:color="auto" w:fill="F2F2F2"/>
          </w:tcPr>
          <w:p>
            <w:pPr/>
            <w:r>
              <w:t xml:space="preserve">Owner</w:t>
            </w:r>
          </w:p>
        </w:tc>
        <w:tc>
          <w:tcPr>
            <w:tcW w:w="1027" w:type="dxa"/>
            <w:shd w:val="clear" w:color="auto" w:fill="F2F2F2"/>
          </w:tcPr>
          <w:p>
            <w:pPr/>
            <w:r>
              <w:t xml:space="preserve">Priority</w:t>
            </w:r>
          </w:p>
        </w:tc>
      </w:tr>
      <w:tr>
        <w:tc>
          <w:tcPr>
            <w:tcW w:w="868" w:type="dxa"/>
          </w:tcPr>
          <w:p>
            <w:pPr/>
            <w:r>
              <w:t xml:space="preserve">BR-18</w:t>
            </w:r>
          </w:p>
        </w:tc>
        <w:tc>
          <w:tcPr>
            <w:tcW w:w="3982" w:type="dxa"/>
          </w:tcPr>
          <w:p>
            <w:pPr/>
            <w:r>
              <w:t xml:space="preserve">The business shall onboard a vendor within one working day on the basis of a name, address, phone number and payment method, with no requirement for company registration</w:t>
            </w:r>
          </w:p>
        </w:tc>
        <w:tc>
          <w:tcPr>
            <w:tcW w:w="1343" w:type="dxa"/>
          </w:tcPr>
          <w:p>
            <w:pPr/>
            <w:r>
              <w:t xml:space="preserve">G-10</w:t>
            </w:r>
          </w:p>
        </w:tc>
        <w:tc>
          <w:tcPr>
            <w:tcW w:w="1225" w:type="dxa"/>
          </w:tcPr>
          <w:p>
            <w:pPr/>
            <w:r>
              <w:t xml:space="preserve">OBJ-04</w:t>
            </w:r>
          </w:p>
        </w:tc>
        <w:tc>
          <w:tcPr>
            <w:tcW w:w="915" w:type="dxa"/>
          </w:tcPr>
          <w:p>
            <w:pPr/>
            <w:r>
              <w:t xml:space="preserve">S-01</w:t>
            </w:r>
          </w:p>
        </w:tc>
        <w:tc>
          <w:tcPr>
            <w:tcW w:w="1027" w:type="dxa"/>
          </w:tcPr>
          <w:p>
            <w:pPr/>
            <w:r>
              <w:t xml:space="preserve">Should</w:t>
            </w:r>
          </w:p>
        </w:tc>
      </w:tr>
      <w:tr>
        <w:tc>
          <w:tcPr>
            <w:tcW w:w="868" w:type="dxa"/>
          </w:tcPr>
          <w:p>
            <w:pPr/>
            <w:r>
              <w:t xml:space="preserve">BR-19</w:t>
            </w:r>
          </w:p>
        </w:tc>
        <w:tc>
          <w:tcPr>
            <w:tcW w:w="3982" w:type="dxa"/>
          </w:tcPr>
          <w:p>
            <w:pPr/>
            <w:r>
              <w:t xml:space="preserve">The business shall offer new vendors a one-week trial at no delivery charge, after which the published rate applies</w:t>
            </w:r>
          </w:p>
        </w:tc>
        <w:tc>
          <w:tcPr>
            <w:tcW w:w="1343" w:type="dxa"/>
          </w:tcPr>
          <w:p>
            <w:pPr/>
            <w:r>
              <w:t xml:space="preserve">G-10</w:t>
            </w:r>
          </w:p>
        </w:tc>
        <w:tc>
          <w:tcPr>
            <w:tcW w:w="1225" w:type="dxa"/>
          </w:tcPr>
          <w:p>
            <w:pPr/>
            <w:r>
              <w:t xml:space="preserve">OBJ-04</w:t>
            </w:r>
          </w:p>
        </w:tc>
        <w:tc>
          <w:tcPr>
            <w:tcW w:w="915" w:type="dxa"/>
          </w:tcPr>
          <w:p>
            <w:pPr/>
            <w:r>
              <w:t xml:space="preserve">S-05</w:t>
            </w:r>
          </w:p>
        </w:tc>
        <w:tc>
          <w:tcPr>
            <w:tcW w:w="1027" w:type="dxa"/>
          </w:tcPr>
          <w:p>
            <w:pPr/>
            <w:r>
              <w:t xml:space="preserve">Should</w:t>
            </w:r>
          </w:p>
        </w:tc>
      </w:tr>
      <w:tr>
        <w:tc>
          <w:tcPr>
            <w:tcW w:w="868" w:type="dxa"/>
          </w:tcPr>
          <w:p>
            <w:pPr/>
            <w:r>
              <w:t xml:space="preserve">BR-20</w:t>
            </w:r>
          </w:p>
        </w:tc>
        <w:tc>
          <w:tcPr>
            <w:tcW w:w="3982" w:type="dxa"/>
          </w:tcPr>
          <w:p>
            <w:pPr/>
            <w:r>
              <w:t xml:space="preserve">The business shall train and equip every cyclist (insulated bag, uniform, lights, phone) before their first delivery, and keep a record of training</w:t>
            </w:r>
          </w:p>
        </w:tc>
        <w:tc>
          <w:tcPr>
            <w:tcW w:w="1343" w:type="dxa"/>
          </w:tcPr>
          <w:p>
            <w:pPr/>
            <w:r>
              <w:t xml:space="preserve">G-09</w:t>
            </w:r>
          </w:p>
        </w:tc>
        <w:tc>
          <w:tcPr>
            <w:tcW w:w="1225" w:type="dxa"/>
          </w:tcPr>
          <w:p>
            <w:pPr/>
            <w:r>
              <w:t xml:space="preserve">OBJ-06</w:t>
            </w:r>
          </w:p>
        </w:tc>
        <w:tc>
          <w:tcPr>
            <w:tcW w:w="915" w:type="dxa"/>
          </w:tcPr>
          <w:p>
            <w:pPr/>
            <w:r>
              <w:t xml:space="preserve">S-03</w:t>
            </w:r>
          </w:p>
        </w:tc>
        <w:tc>
          <w:tcPr>
            <w:tcW w:w="1027" w:type="dxa"/>
          </w:tcPr>
          <w:p>
            <w:pPr/>
            <w:r>
              <w:t xml:space="preserve">Must</w:t>
            </w:r>
          </w:p>
        </w:tc>
      </w:tr>
      <w:tr>
        <w:tc>
          <w:tcPr>
            <w:tcW w:w="868" w:type="dxa"/>
          </w:tcPr>
          <w:p>
            <w:pPr/>
            <w:r>
              <w:t xml:space="preserve">BR-21</w:t>
            </w:r>
          </w:p>
        </w:tc>
        <w:tc>
          <w:tcPr>
            <w:tcW w:w="3982" w:type="dxa"/>
          </w:tcPr>
          <w:p>
            <w:pPr/>
            <w:r>
              <w:t xml:space="preserve">The business shall hold a NIPOST CLRD Regional licence and CAC registration before the first paid delivery, and shall operate a complaints procedure meeting CLRD standards</w:t>
            </w:r>
          </w:p>
        </w:tc>
        <w:tc>
          <w:tcPr>
            <w:tcW w:w="1343" w:type="dxa"/>
          </w:tcPr>
          <w:p>
            <w:pPr/>
            <w:r>
              <w:t xml:space="preserve">G-09</w:t>
            </w:r>
          </w:p>
        </w:tc>
        <w:tc>
          <w:tcPr>
            <w:tcW w:w="1225" w:type="dxa"/>
          </w:tcPr>
          <w:p>
            <w:pPr/>
            <w:r>
              <w:t xml:space="preserve">OBJ-06</w:t>
            </w:r>
          </w:p>
        </w:tc>
        <w:tc>
          <w:tcPr>
            <w:tcW w:w="915" w:type="dxa"/>
          </w:tcPr>
          <w:p>
            <w:pPr/>
            <w:r>
              <w:t xml:space="preserve">S-05</w:t>
            </w:r>
          </w:p>
        </w:tc>
        <w:tc>
          <w:tcPr>
            <w:tcW w:w="1027" w:type="dxa"/>
          </w:tcPr>
          <w:p>
            <w:pPr/>
            <w:r>
              <w:t xml:space="preserve">Must</w:t>
            </w:r>
          </w:p>
        </w:tc>
      </w:tr>
      <w:tr>
        <w:tc>
          <w:tcPr>
            <w:tcW w:w="868" w:type="dxa"/>
          </w:tcPr>
          <w:p>
            <w:pPr/>
            <w:r>
              <w:t xml:space="preserve">BR-22</w:t>
            </w:r>
          </w:p>
        </w:tc>
        <w:tc>
          <w:tcPr>
            <w:tcW w:w="3982" w:type="dxa"/>
          </w:tcPr>
          <w:p>
            <w:pPr/>
            <w:r>
              <w:t xml:space="preserve">The business shall retain delivery, payment and exception records for at least 12 months for dispute resolution and regulatory inspection</w:t>
            </w:r>
          </w:p>
        </w:tc>
        <w:tc>
          <w:tcPr>
            <w:tcW w:w="1343" w:type="dxa"/>
          </w:tcPr>
          <w:p>
            <w:pPr/>
            <w:r>
              <w:t xml:space="preserve">G-03, G-09</w:t>
            </w:r>
          </w:p>
        </w:tc>
        <w:tc>
          <w:tcPr>
            <w:tcW w:w="1225" w:type="dxa"/>
          </w:tcPr>
          <w:p>
            <w:pPr/>
            <w:r>
              <w:t xml:space="preserve">OBJ-05, OBJ-06</w:t>
            </w:r>
          </w:p>
        </w:tc>
        <w:tc>
          <w:tcPr>
            <w:tcW w:w="915" w:type="dxa"/>
          </w:tcPr>
          <w:p>
            <w:pPr/>
            <w:r>
              <w:t xml:space="preserve">S-05</w:t>
            </w:r>
          </w:p>
        </w:tc>
        <w:tc>
          <w:tcPr>
            <w:tcW w:w="1027" w:type="dxa"/>
          </w:tcPr>
          <w:p>
            <w:pPr/>
            <w:r>
              <w:t xml:space="preserve">Must</w:t>
            </w:r>
          </w:p>
        </w:tc>
      </w:tr>
    </w:tbl>
    <w:p>
      <w:pPr/>
      <w:r>
        <w:rPr>
          <w:b/>
        </w:rPr>
        <w:t xml:space="preserve">Package scope</w:t>
      </w:r>
      <w:r>
        <w:t xml:space="preserve"> (added 6 Oct 2026)</w:t>
      </w:r>
    </w:p>
    <w:tbl>
      <w:tblPr>
        <w:tblStyle w:val="TableGrid"/>
        <w:tblW w:w="0" w:type="auto"/>
        <w:tblLayout w:type="fixed"/>
        <w:tblLook w:val="04A0" w:firstRow="1" w:lastRow="0" w:firstColumn="0" w:lastColumn="0" w:noHBand="0" w:noVBand="1"/>
      </w:tblPr>
      <w:tblGrid>
        <w:gridCol w:w="868"/>
        <w:gridCol w:w="3982"/>
        <w:gridCol w:w="1343"/>
        <w:gridCol w:w="1225"/>
        <w:gridCol w:w="915"/>
        <w:gridCol w:w="1027"/>
      </w:tblGrid>
      <w:tr>
        <w:trPr>
          <w:tblHeader/>
        </w:trPr>
        <w:tc>
          <w:tcPr>
            <w:tcW w:w="868" w:type="dxa"/>
            <w:shd w:val="clear" w:color="auto" w:fill="F2F2F2"/>
          </w:tcPr>
          <w:p>
            <w:pPr/>
            <w:r>
              <w:t xml:space="preserve">ID</w:t>
            </w:r>
          </w:p>
        </w:tc>
        <w:tc>
          <w:tcPr>
            <w:tcW w:w="3982" w:type="dxa"/>
            <w:shd w:val="clear" w:color="auto" w:fill="F2F2F2"/>
          </w:tcPr>
          <w:p>
            <w:pPr/>
            <w:r>
              <w:t xml:space="preserve">Requirement</w:t>
            </w:r>
          </w:p>
        </w:tc>
        <w:tc>
          <w:tcPr>
            <w:tcW w:w="1343" w:type="dxa"/>
            <w:shd w:val="clear" w:color="auto" w:fill="F2F2F2"/>
          </w:tcPr>
          <w:p>
            <w:pPr/>
            <w:r>
              <w:t xml:space="preserve">Gap</w:t>
            </w:r>
          </w:p>
        </w:tc>
        <w:tc>
          <w:tcPr>
            <w:tcW w:w="1225" w:type="dxa"/>
            <w:shd w:val="clear" w:color="auto" w:fill="F2F2F2"/>
          </w:tcPr>
          <w:p>
            <w:pPr/>
            <w:r>
              <w:t xml:space="preserve">Objective</w:t>
            </w:r>
          </w:p>
        </w:tc>
        <w:tc>
          <w:tcPr>
            <w:tcW w:w="915" w:type="dxa"/>
            <w:shd w:val="clear" w:color="auto" w:fill="F2F2F2"/>
          </w:tcPr>
          <w:p>
            <w:pPr/>
            <w:r>
              <w:t xml:space="preserve">Owner</w:t>
            </w:r>
          </w:p>
        </w:tc>
        <w:tc>
          <w:tcPr>
            <w:tcW w:w="1027" w:type="dxa"/>
            <w:shd w:val="clear" w:color="auto" w:fill="F2F2F2"/>
          </w:tcPr>
          <w:p>
            <w:pPr/>
            <w:r>
              <w:t xml:space="preserve">Priority</w:t>
            </w:r>
          </w:p>
        </w:tc>
      </w:tr>
      <w:tr>
        <w:tc>
          <w:tcPr>
            <w:tcW w:w="868" w:type="dxa"/>
          </w:tcPr>
          <w:p>
            <w:pPr/>
            <w:r>
              <w:t xml:space="preserve">BR-23</w:t>
            </w:r>
          </w:p>
        </w:tc>
        <w:tc>
          <w:tcPr>
            <w:tcW w:w="3982" w:type="dxa"/>
          </w:tcPr>
          <w:p>
            <w:pPr/>
            <w:r>
              <w:t xml:space="preserve">The business shall accept any package a cyclist can safely carry by bicycle, within published limits on size, weight, declared value and prohibited items, and shall allow a cyclist to refuse a package that breaches them</w:t>
            </w:r>
          </w:p>
        </w:tc>
        <w:tc>
          <w:tcPr>
            <w:tcW w:w="1343" w:type="dxa"/>
          </w:tcPr>
          <w:p>
            <w:pPr/>
            <w:r>
              <w:t xml:space="preserve">G-01, G-09</w:t>
            </w:r>
          </w:p>
        </w:tc>
        <w:tc>
          <w:tcPr>
            <w:tcW w:w="1225" w:type="dxa"/>
          </w:tcPr>
          <w:p>
            <w:pPr/>
            <w:r>
              <w:t xml:space="preserve">OBJ-01, OBJ-06</w:t>
            </w:r>
          </w:p>
        </w:tc>
        <w:tc>
          <w:tcPr>
            <w:tcW w:w="915" w:type="dxa"/>
          </w:tcPr>
          <w:p>
            <w:pPr/>
            <w:r>
              <w:t xml:space="preserve">S-05</w:t>
            </w:r>
          </w:p>
        </w:tc>
        <w:tc>
          <w:tcPr>
            <w:tcW w:w="1027" w:type="dxa"/>
          </w:tcPr>
          <w:p>
            <w:pPr/>
            <w:r>
              <w:t xml:space="preserve">Must</w:t>
            </w:r>
          </w:p>
        </w:tc>
      </w:tr>
    </w:tbl>
    <w:p>
      <w:pPr>
        <w:pStyle w:val="Heading2"/>
      </w:pPr>
      <w:r>
        <w:t xml:space="preserve">10. Business rules</w:t>
      </w:r>
    </w:p>
    <w:p>
      <w:pPr/>
      <w:r>
        <w:t xml:space="preserve">Rules are the sponsor's decisions on how the business behaves; they are fixed here so the SRS can implement them without reinterpretation. Rules marked Decision were taken by the sponsor on 6 Oct 2026; Assumption rules are analyst defaults awaiting confirmation.</w:t>
      </w:r>
    </w:p>
    <w:p>
      <w:pPr/>
      <w:r>
        <w:rPr>
          <w:b/>
        </w:rPr>
        <w:t xml:space="preserve">Pricing and payment</w:t>
      </w:r>
    </w:p>
    <w:tbl>
      <w:tblPr>
        <w:tblStyle w:val="TableGrid"/>
        <w:tblW w:w="0" w:type="auto"/>
        <w:tblLayout w:type="fixed"/>
        <w:tblLook w:val="04A0" w:firstRow="1" w:lastRow="0" w:firstColumn="0" w:lastColumn="0" w:noHBand="0" w:noVBand="1"/>
      </w:tblPr>
      <w:tblGrid>
        <w:gridCol w:w="1025"/>
        <w:gridCol w:w="4920"/>
        <w:gridCol w:w="3415"/>
      </w:tblGrid>
      <w:tr>
        <w:trPr>
          <w:tblHeader/>
        </w:trPr>
        <w:tc>
          <w:tcPr>
            <w:tcW w:w="1025" w:type="dxa"/>
            <w:shd w:val="clear" w:color="auto" w:fill="F2F2F2"/>
          </w:tcPr>
          <w:p>
            <w:pPr/>
            <w:r>
              <w:t xml:space="preserve">ID</w:t>
            </w:r>
          </w:p>
        </w:tc>
        <w:tc>
          <w:tcPr>
            <w:tcW w:w="4920" w:type="dxa"/>
            <w:shd w:val="clear" w:color="auto" w:fill="F2F2F2"/>
          </w:tcPr>
          <w:p>
            <w:pPr/>
            <w:r>
              <w:t xml:space="preserve">Rule</w:t>
            </w:r>
          </w:p>
        </w:tc>
        <w:tc>
          <w:tcPr>
            <w:tcW w:w="3415" w:type="dxa"/>
            <w:shd w:val="clear" w:color="auto" w:fill="F2F2F2"/>
          </w:tcPr>
          <w:p>
            <w:pPr/>
            <w:r>
              <w:t xml:space="preserve">Label</w:t>
            </w:r>
          </w:p>
        </w:tc>
      </w:tr>
      <w:tr>
        <w:tc>
          <w:tcPr>
            <w:tcW w:w="1025" w:type="dxa"/>
          </w:tcPr>
          <w:p>
            <w:pPr/>
            <w:r>
              <w:t xml:space="preserve">RUL-01</w:t>
            </w:r>
          </w:p>
        </w:tc>
        <w:tc>
          <w:tcPr>
            <w:tcW w:w="4920" w:type="dxa"/>
          </w:tcPr>
          <w:p>
            <w:pPr/>
            <w:r>
              <w:t xml:space="preserve">One fixed rate applies to every delivery within a zone, regardless of distance within the zone, time of day, weather or order value. Pilot rate: ₦900 (target band ₦700–₦1,000; set by the sponsor, reviewed monthly)</w:t>
            </w:r>
          </w:p>
        </w:tc>
        <w:tc>
          <w:tcPr>
            <w:tcW w:w="3415" w:type="dxa"/>
          </w:tcPr>
          <w:p>
            <w:pPr/>
            <w:r>
              <w:t xml:space="preserve">Decision: fixed rate; assumption: ₦900</w:t>
            </w:r>
          </w:p>
        </w:tc>
      </w:tr>
      <w:tr>
        <w:tc>
          <w:tcPr>
            <w:tcW w:w="1025" w:type="dxa"/>
          </w:tcPr>
          <w:p>
            <w:pPr/>
            <w:r>
              <w:t xml:space="preserve">RUL-02</w:t>
            </w:r>
          </w:p>
        </w:tc>
        <w:tc>
          <w:tcPr>
            <w:tcW w:w="4920" w:type="dxa"/>
          </w:tcPr>
          <w:p>
            <w:pPr/>
            <w:r>
              <w:t xml:space="preserve">The requester pays the fixed rate to Airand when confirming the request; the request is </w:t>
            </w:r>
            <w:r>
              <w:rPr>
                <w:i/>
              </w:rPr>
              <w:t xml:space="preserve">Pending payment</w:t>
            </w:r>
            <w:r>
              <w:t xml:space="preserve"> until payment is confirmed and becomes </w:t>
            </w:r>
            <w:r>
              <w:rPr>
                <w:i/>
              </w:rPr>
              <w:t xml:space="preserve">Active</w:t>
            </w:r>
            <w:r>
              <w:t xml:space="preserve"> only then. Airand holds the fee and does not recognise it as revenue, nor credit the cyclist's per-delivery earning, until the delivery is </w:t>
            </w:r>
            <w:r>
              <w:rPr>
                <w:i/>
              </w:rPr>
              <w:t xml:space="preserve">Delivered</w:t>
            </w:r>
            <w:r>
              <w:t xml:space="preserve"> or </w:t>
            </w:r>
            <w:r>
              <w:rPr>
                <w:i/>
              </w:rPr>
              <w:t xml:space="preserve">Failed</w:t>
            </w:r>
            <w:r>
              <w:t xml:space="preserve"> after pickup. Unconfirmed requests expire after 10 minuteswith the hold released</w:t>
            </w:r>
          </w:p>
        </w:tc>
        <w:tc>
          <w:tcPr>
            <w:tcW w:w="3415" w:type="dxa"/>
          </w:tcPr>
          <w:p>
            <w:pPr/>
            <w:r>
              <w:t xml:space="preserve">Decision: payment validates; assumption: 10 min</w:t>
            </w:r>
          </w:p>
        </w:tc>
      </w:tr>
      <w:tr>
        <w:tc>
          <w:tcPr>
            <w:tcW w:w="1025" w:type="dxa"/>
          </w:tcPr>
          <w:p>
            <w:pPr/>
            <w:r>
              <w:t xml:space="preserve">RUL-03</w:t>
            </w:r>
          </w:p>
        </w:tc>
        <w:tc>
          <w:tcPr>
            <w:tcW w:w="4920" w:type="dxa"/>
          </w:tcPr>
          <w:p>
            <w:pPr/>
            <w:r>
              <w:t xml:space="preserve">Payment is by vendor wallet (prepaid, topped up by bank transfer) or by transfer per request; cash is not accepted for delivery fees</w:t>
            </w:r>
          </w:p>
        </w:tc>
        <w:tc>
          <w:tcPr>
            <w:tcW w:w="3415" w:type="dxa"/>
          </w:tcPr>
          <w:p>
            <w:pPr/>
            <w:r>
              <w:t xml:space="preserve">Assumption</w:t>
            </w:r>
          </w:p>
        </w:tc>
      </w:tr>
      <w:tr>
        <w:tc>
          <w:tcPr>
            <w:tcW w:w="1025" w:type="dxa"/>
          </w:tcPr>
          <w:p>
            <w:pPr/>
            <w:r>
              <w:t xml:space="preserve">RUL-04</w:t>
            </w:r>
          </w:p>
        </w:tc>
        <w:tc>
          <w:tcPr>
            <w:tcW w:w="4920" w:type="dxa"/>
          </w:tcPr>
          <w:p>
            <w:pPr/>
            <w:r>
              <w:t xml:space="preserve">Refunds are tiered: cancelled before a cyclist is assigned, the full fee returns to the wallet; cancelled after assignment but before pickup, a cancellation fee of 20% (₦180 at the pilot rate) is released to Airand for the cyclist's ride and the balance refunded; after pickup, no cancellation by the vendor and no refund</w:t>
            </w:r>
          </w:p>
        </w:tc>
        <w:tc>
          <w:tcPr>
            <w:tcW w:w="3415" w:type="dxa"/>
          </w:tcPr>
          <w:p>
            <w:pPr/>
            <w:r>
              <w:t xml:space="preserve">Assumption</w:t>
            </w:r>
          </w:p>
        </w:tc>
      </w:tr>
      <w:tr>
        <w:tc>
          <w:tcPr>
            <w:tcW w:w="1025" w:type="dxa"/>
          </w:tcPr>
          <w:p>
            <w:pPr/>
            <w:r>
              <w:t xml:space="preserve">RUL-05</w:t>
            </w:r>
          </w:p>
        </w:tc>
        <w:tc>
          <w:tcPr>
            <w:tcW w:w="4920" w:type="dxa"/>
          </w:tcPr>
          <w:p>
            <w:pPr/>
            <w:r>
              <w:t xml:space="preserve">A failed handover after pickup (receiver unreachable after the exception procedure) releases the full fee to Airand; the food is returned to the vendor</w:t>
            </w:r>
          </w:p>
        </w:tc>
        <w:tc>
          <w:tcPr>
            <w:tcW w:w="3415" w:type="dxa"/>
          </w:tcPr>
          <w:p>
            <w:pPr/>
            <w:r>
              <w:t xml:space="preserve">Decision: 6 Oct 2026; assumption: return of food</w:t>
            </w:r>
          </w:p>
        </w:tc>
      </w:tr>
      <w:tr>
        <w:tc>
          <w:tcPr>
            <w:tcW w:w="1025" w:type="dxa"/>
          </w:tcPr>
          <w:p>
            <w:pPr/>
            <w:r>
              <w:t xml:space="preserve">RUL-06</w:t>
            </w:r>
          </w:p>
        </w:tc>
        <w:tc>
          <w:tcPr>
            <w:tcW w:w="4920" w:type="dxa"/>
          </w:tcPr>
          <w:p>
            <w:pPr/>
            <w:r>
              <w:t xml:space="preserve">New vendors receive a 7-day trial during which the fee is ₦0; requests are still created and paid at ₦0 so the record is complete</w:t>
            </w:r>
          </w:p>
        </w:tc>
        <w:tc>
          <w:tcPr>
            <w:tcW w:w="3415" w:type="dxa"/>
          </w:tcPr>
          <w:p>
            <w:pPr/>
            <w:r>
              <w:t xml:space="preserve">Source: original plan</w:t>
            </w:r>
          </w:p>
        </w:tc>
      </w:tr>
    </w:tbl>
    <w:p>
      <w:pPr/>
      <w:r>
        <w:rPr>
          <w:b/>
        </w:rPr>
        <w:t xml:space="preserve">Zones and capacity</w:t>
      </w:r>
    </w:p>
    <w:tbl>
      <w:tblPr>
        <w:tblStyle w:val="TableGrid"/>
        <w:tblW w:w="0" w:type="auto"/>
        <w:tblLayout w:type="fixed"/>
        <w:tblLook w:val="04A0" w:firstRow="1" w:lastRow="0" w:firstColumn="0" w:lastColumn="0" w:noHBand="0" w:noVBand="1"/>
      </w:tblPr>
      <w:tblGrid>
        <w:gridCol w:w="1293"/>
        <w:gridCol w:w="6210"/>
        <w:gridCol w:w="1855"/>
      </w:tblGrid>
      <w:tr>
        <w:trPr>
          <w:tblHeader/>
        </w:trPr>
        <w:tc>
          <w:tcPr>
            <w:tcW w:w="1293" w:type="dxa"/>
            <w:shd w:val="clear" w:color="auto" w:fill="F2F2F2"/>
          </w:tcPr>
          <w:p>
            <w:pPr/>
            <w:r>
              <w:t xml:space="preserve">ID</w:t>
            </w:r>
          </w:p>
        </w:tc>
        <w:tc>
          <w:tcPr>
            <w:tcW w:w="6210" w:type="dxa"/>
            <w:shd w:val="clear" w:color="auto" w:fill="F2F2F2"/>
          </w:tcPr>
          <w:p>
            <w:pPr/>
            <w:r>
              <w:t xml:space="preserve">Rule</w:t>
            </w:r>
          </w:p>
        </w:tc>
        <w:tc>
          <w:tcPr>
            <w:tcW w:w="1855" w:type="dxa"/>
            <w:shd w:val="clear" w:color="auto" w:fill="F2F2F2"/>
          </w:tcPr>
          <w:p>
            <w:pPr/>
            <w:r>
              <w:t xml:space="preserve">Label</w:t>
            </w:r>
          </w:p>
        </w:tc>
      </w:tr>
      <w:tr>
        <w:tc>
          <w:tcPr>
            <w:tcW w:w="1293" w:type="dxa"/>
          </w:tcPr>
          <w:p>
            <w:pPr/>
            <w:r>
              <w:t xml:space="preserve">RUL-07</w:t>
            </w:r>
          </w:p>
        </w:tc>
        <w:tc>
          <w:tcPr>
            <w:tcW w:w="6210" w:type="dxa"/>
          </w:tcPr>
          <w:p>
            <w:pPr/>
            <w:r>
              <w:t xml:space="preserve">A zone is a polygon around a hub with a nominal radius of 2.5 km. Pickup must be a registered vendor address inside the zone; drop-off must be inside the zone or the request is declined with the reason "outside zone"</w:t>
            </w:r>
          </w:p>
        </w:tc>
        <w:tc>
          <w:tcPr>
            <w:tcW w:w="1855" w:type="dxa"/>
          </w:tcPr>
          <w:p>
            <w:pPr/>
            <w:r>
              <w:t xml:space="preserve">Assumption</w:t>
            </w:r>
          </w:p>
        </w:tc>
      </w:tr>
      <w:tr>
        <w:tc>
          <w:tcPr>
            <w:tcW w:w="1293" w:type="dxa"/>
          </w:tcPr>
          <w:p>
            <w:pPr/>
            <w:r>
              <w:t xml:space="preserve">RUL-08</w:t>
            </w:r>
          </w:p>
        </w:tc>
        <w:tc>
          <w:tcPr>
            <w:tcW w:w="6210" w:type="dxa"/>
          </w:tcPr>
          <w:p>
            <w:pPr/>
            <w:r>
              <w:t xml:space="preserve">Zone operating hours for the pilot: 12:00–23:30 daily. Requests outside hours are declined with the reason "zone closed"</w:t>
            </w:r>
          </w:p>
        </w:tc>
        <w:tc>
          <w:tcPr>
            <w:tcW w:w="1855" w:type="dxa"/>
          </w:tcPr>
          <w:p>
            <w:pPr/>
            <w:r>
              <w:t xml:space="preserve">Assumption</w:t>
            </w:r>
          </w:p>
        </w:tc>
      </w:tr>
      <w:tr>
        <w:tc>
          <w:tcPr>
            <w:tcW w:w="1293" w:type="dxa"/>
          </w:tcPr>
          <w:p>
            <w:pPr/>
            <w:r>
              <w:t xml:space="preserve">RUL-09</w:t>
            </w:r>
          </w:p>
        </w:tc>
        <w:tc>
          <w:tcPr>
            <w:tcW w:w="6210" w:type="dxa"/>
          </w:tcPr>
          <w:p>
            <w:pPr/>
            <w:r>
              <w:t xml:space="preserve">Cyclist shifts are rostered weekly; at least 60% of rostered cyclist-hours fall between 18:00 and 23:30</w:t>
            </w:r>
          </w:p>
        </w:tc>
        <w:tc>
          <w:tcPr>
            <w:tcW w:w="1855" w:type="dxa"/>
          </w:tcPr>
          <w:p>
            <w:pPr/>
            <w:r>
              <w:t xml:space="preserve">Assumption</w:t>
            </w:r>
          </w:p>
        </w:tc>
      </w:tr>
      <w:tr>
        <w:tc>
          <w:tcPr>
            <w:tcW w:w="1293" w:type="dxa"/>
          </w:tcPr>
          <w:p>
            <w:pPr/>
            <w:r>
              <w:t xml:space="preserve">RUL-10</w:t>
            </w:r>
          </w:p>
        </w:tc>
        <w:tc>
          <w:tcPr>
            <w:tcW w:w="6210" w:type="dxa"/>
          </w:tcPr>
          <w:p>
            <w:pPr/>
            <w:r>
              <w:t xml:space="preserve">Cyclist pay is a guaranteed shift retainer plus a per-delivery bonus above a daily threshold; the threshold is set so that the model's break-even (≈ 4.6 deliveries per cyclist per day) is covered by the retainer alone</w:t>
            </w:r>
          </w:p>
        </w:tc>
        <w:tc>
          <w:tcPr>
            <w:tcW w:w="1855" w:type="dxa"/>
          </w:tcPr>
          <w:p>
            <w:pPr/>
            <w:r>
              <w:t xml:space="preserve">Assumption</w:t>
            </w:r>
          </w:p>
        </w:tc>
      </w:tr>
    </w:tbl>
    <w:p>
      <w:pPr/>
      <w:r>
        <w:rPr>
          <w:b/>
        </w:rPr>
        <w:t xml:space="preserve">Assignment</w:t>
      </w:r>
    </w:p>
    <w:tbl>
      <w:tblPr>
        <w:tblStyle w:val="TableGrid"/>
        <w:tblW w:w="0" w:type="auto"/>
        <w:tblLayout w:type="fixed"/>
        <w:tblLook w:val="04A0" w:firstRow="1" w:lastRow="0" w:firstColumn="0" w:lastColumn="0" w:noHBand="0" w:noVBand="1"/>
      </w:tblPr>
      <w:tblGrid>
        <w:gridCol w:w="1025"/>
        <w:gridCol w:w="4920"/>
        <w:gridCol w:w="3415"/>
      </w:tblGrid>
      <w:tr>
        <w:trPr>
          <w:tblHeader/>
        </w:trPr>
        <w:tc>
          <w:tcPr>
            <w:tcW w:w="1025" w:type="dxa"/>
            <w:shd w:val="clear" w:color="auto" w:fill="F2F2F2"/>
          </w:tcPr>
          <w:p>
            <w:pPr/>
            <w:r>
              <w:t xml:space="preserve">ID</w:t>
            </w:r>
          </w:p>
        </w:tc>
        <w:tc>
          <w:tcPr>
            <w:tcW w:w="4920" w:type="dxa"/>
            <w:shd w:val="clear" w:color="auto" w:fill="F2F2F2"/>
          </w:tcPr>
          <w:p>
            <w:pPr/>
            <w:r>
              <w:t xml:space="preserve">Rule</w:t>
            </w:r>
          </w:p>
        </w:tc>
        <w:tc>
          <w:tcPr>
            <w:tcW w:w="3415" w:type="dxa"/>
            <w:shd w:val="clear" w:color="auto" w:fill="F2F2F2"/>
          </w:tcPr>
          <w:p>
            <w:pPr/>
            <w:r>
              <w:t xml:space="preserve">Label</w:t>
            </w:r>
          </w:p>
        </w:tc>
      </w:tr>
      <w:tr>
        <w:tc>
          <w:tcPr>
            <w:tcW w:w="1025" w:type="dxa"/>
          </w:tcPr>
          <w:p>
            <w:pPr/>
            <w:r>
              <w:t xml:space="preserve">RUL-11</w:t>
            </w:r>
          </w:p>
        </w:tc>
        <w:tc>
          <w:tcPr>
            <w:tcW w:w="4920" w:type="dxa"/>
          </w:tcPr>
          <w:p>
            <w:pPr/>
            <w:r>
              <w:t xml:space="preserve">On activation the system assigns the request to the cyclist who is </w:t>
            </w:r>
            <w:r>
              <w:rPr>
                <w:i/>
              </w:rPr>
              <w:t xml:space="preserve">Available</w:t>
            </w:r>
            <w:r>
              <w:t xml:space="preserve"> and nearest to the pickup; ties are broken by the longest time since the cyclist's last assignment</w:t>
            </w:r>
          </w:p>
        </w:tc>
        <w:tc>
          <w:tcPr>
            <w:tcW w:w="3415" w:type="dxa"/>
          </w:tcPr>
          <w:p>
            <w:pPr/>
            <w:r>
              <w:t xml:space="preserve">Decision: system assigns; assumption: rule detail</w:t>
            </w:r>
          </w:p>
        </w:tc>
      </w:tr>
      <w:tr>
        <w:tc>
          <w:tcPr>
            <w:tcW w:w="1025" w:type="dxa"/>
          </w:tcPr>
          <w:p>
            <w:pPr/>
            <w:r>
              <w:t xml:space="preserve">RUL-12</w:t>
            </w:r>
          </w:p>
        </w:tc>
        <w:tc>
          <w:tcPr>
            <w:tcW w:w="4920" w:type="dxa"/>
          </w:tcPr>
          <w:p>
            <w:pPr/>
            <w:r>
              <w:t xml:space="preserve">A cyclist may be </w:t>
            </w:r>
            <w:r>
              <w:rPr>
                <w:i/>
              </w:rPr>
              <w:t xml:space="preserve">Available</w:t>
            </w:r>
            <w:r>
              <w:t xml:space="preserve">, </w:t>
            </w:r>
            <w:r>
              <w:rPr>
                <w:i/>
              </w:rPr>
              <w:t xml:space="preserve">Assigned</w:t>
            </w:r>
            <w:r>
              <w:t xml:space="preserve">, </w:t>
            </w:r>
            <w:r>
              <w:rPr>
                <w:i/>
              </w:rPr>
              <w:t xml:space="preserve">En route to pickup</w:t>
            </w:r>
            <w:r>
              <w:t xml:space="preserve">, </w:t>
            </w:r>
            <w:r>
              <w:rPr>
                <w:i/>
              </w:rPr>
              <w:t xml:space="preserve">Waiting at vendor</w:t>
            </w:r>
            <w:r>
              <w:t xml:space="preserve">, </w:t>
            </w:r>
            <w:r>
              <w:rPr>
                <w:i/>
              </w:rPr>
              <w:t xml:space="preserve">Delivering</w:t>
            </w:r>
            <w:r>
              <w:t xml:space="preserve">, or </w:t>
            </w:r>
            <w:r>
              <w:rPr>
                <w:i/>
              </w:rPr>
              <w:t xml:space="preserve">Off shift</w:t>
            </w:r>
            <w:r>
              <w:t xml:space="preserve">. Only </w:t>
            </w:r>
            <w:r>
              <w:rPr>
                <w:i/>
              </w:rPr>
              <w:t xml:space="preserve">Available</w:t>
            </w:r>
            <w:r>
              <w:t xml:space="preserve"> cyclists receive assignments</w:t>
            </w:r>
          </w:p>
        </w:tc>
        <w:tc>
          <w:tcPr>
            <w:tcW w:w="3415" w:type="dxa"/>
          </w:tcPr>
          <w:p>
            <w:pPr/>
            <w:r>
              <w:t xml:space="preserve">Assumption</w:t>
            </w:r>
          </w:p>
        </w:tc>
      </w:tr>
      <w:tr>
        <w:tc>
          <w:tcPr>
            <w:tcW w:w="1025" w:type="dxa"/>
          </w:tcPr>
          <w:p>
            <w:pPr/>
            <w:r>
              <w:t xml:space="preserve">RUL-13</w:t>
            </w:r>
          </w:p>
        </w:tc>
        <w:tc>
          <w:tcPr>
            <w:tcW w:w="4920" w:type="dxa"/>
          </w:tcPr>
          <w:p>
            <w:pPr/>
            <w:r>
              <w:t xml:space="preserve">An assigned cyclist must acknowledge within 60 seconds; otherwise the request is reassigned to the next cyclist by RUL-11 and the system admin is alerted</w:t>
            </w:r>
          </w:p>
        </w:tc>
        <w:tc>
          <w:tcPr>
            <w:tcW w:w="3415" w:type="dxa"/>
          </w:tcPr>
          <w:p>
            <w:pPr/>
            <w:r>
              <w:t xml:space="preserve">Assumption</w:t>
            </w:r>
          </w:p>
        </w:tc>
      </w:tr>
      <w:tr>
        <w:tc>
          <w:tcPr>
            <w:tcW w:w="1025" w:type="dxa"/>
          </w:tcPr>
          <w:p>
            <w:pPr/>
            <w:r>
              <w:t xml:space="preserve">RUL-14</w:t>
            </w:r>
          </w:p>
        </w:tc>
        <w:tc>
          <w:tcPr>
            <w:tcW w:w="4920" w:type="dxa"/>
          </w:tcPr>
          <w:p>
            <w:pPr/>
            <w:r>
              <w:t xml:space="preserve">If no cyclist is </w:t>
            </w:r>
            <w:r>
              <w:rPr>
                <w:i/>
              </w:rPr>
              <w:t xml:space="preserve">Available</w:t>
            </w:r>
            <w:r>
              <w:t xml:space="preserve">, the request queues as </w:t>
            </w:r>
            <w:r>
              <w:rPr>
                <w:i/>
              </w:rPr>
              <w:t xml:space="preserve">Awaiting cyclist</w:t>
            </w:r>
            <w:r>
              <w:t xml:space="preserve">; the vendor is told the expected wait; the system admin is alerted after 3 minutes</w:t>
            </w:r>
          </w:p>
        </w:tc>
        <w:tc>
          <w:tcPr>
            <w:tcW w:w="3415" w:type="dxa"/>
          </w:tcPr>
          <w:p>
            <w:pPr/>
            <w:r>
              <w:t xml:space="preserve">Assumption</w:t>
            </w:r>
          </w:p>
        </w:tc>
      </w:tr>
      <w:tr>
        <w:tc>
          <w:tcPr>
            <w:tcW w:w="1025" w:type="dxa"/>
          </w:tcPr>
          <w:p>
            <w:pPr/>
            <w:r>
              <w:t xml:space="preserve">RUL-15</w:t>
            </w:r>
          </w:p>
        </w:tc>
        <w:tc>
          <w:tcPr>
            <w:tcW w:w="4920" w:type="dxa"/>
          </w:tcPr>
          <w:p>
            <w:pPr/>
            <w:r>
              <w:t xml:space="preserve">The system admin may override any assignment, reassign a delivery, or mark a cyclist </w:t>
            </w:r>
            <w:r>
              <w:rPr>
                <w:i/>
              </w:rPr>
              <w:t xml:space="preserve">Off shift</w:t>
            </w:r>
            <w:r>
              <w:t xml:space="preserve">; every override is recorded with a reason</w:t>
            </w:r>
          </w:p>
        </w:tc>
        <w:tc>
          <w:tcPr>
            <w:tcW w:w="3415" w:type="dxa"/>
          </w:tcPr>
          <w:p>
            <w:pPr/>
            <w:r>
              <w:t xml:space="preserve">Decision</w:t>
            </w:r>
          </w:p>
        </w:tc>
      </w:tr>
    </w:tbl>
    <w:p>
      <w:pPr/>
      <w:r>
        <w:rPr>
          <w:b/>
        </w:rPr>
        <w:t xml:space="preserve">Fulfilment and exceptions</w:t>
      </w:r>
    </w:p>
    <w:tbl>
      <w:tblPr>
        <w:tblStyle w:val="TableGrid"/>
        <w:tblW w:w="0" w:type="auto"/>
        <w:tblLayout w:type="fixed"/>
        <w:tblLook w:val="04A0" w:firstRow="1" w:lastRow="0" w:firstColumn="0" w:lastColumn="0" w:noHBand="0" w:noVBand="1"/>
      </w:tblPr>
      <w:tblGrid>
        <w:gridCol w:w="1025"/>
        <w:gridCol w:w="4920"/>
        <w:gridCol w:w="3415"/>
      </w:tblGrid>
      <w:tr>
        <w:trPr>
          <w:tblHeader/>
        </w:trPr>
        <w:tc>
          <w:tcPr>
            <w:tcW w:w="1025" w:type="dxa"/>
            <w:shd w:val="clear" w:color="auto" w:fill="F2F2F2"/>
          </w:tcPr>
          <w:p>
            <w:pPr/>
            <w:r>
              <w:t xml:space="preserve">ID</w:t>
            </w:r>
          </w:p>
        </w:tc>
        <w:tc>
          <w:tcPr>
            <w:tcW w:w="4920" w:type="dxa"/>
            <w:shd w:val="clear" w:color="auto" w:fill="F2F2F2"/>
          </w:tcPr>
          <w:p>
            <w:pPr/>
            <w:r>
              <w:t xml:space="preserve">Rule</w:t>
            </w:r>
          </w:p>
        </w:tc>
        <w:tc>
          <w:tcPr>
            <w:tcW w:w="3415" w:type="dxa"/>
            <w:shd w:val="clear" w:color="auto" w:fill="F2F2F2"/>
          </w:tcPr>
          <w:p>
            <w:pPr/>
            <w:r>
              <w:t xml:space="preserve">Label</w:t>
            </w:r>
          </w:p>
        </w:tc>
      </w:tr>
      <w:tr>
        <w:tc>
          <w:tcPr>
            <w:tcW w:w="1025" w:type="dxa"/>
          </w:tcPr>
          <w:p>
            <w:pPr/>
            <w:r>
              <w:t xml:space="preserve">RUL-16</w:t>
            </w:r>
          </w:p>
        </w:tc>
        <w:tc>
          <w:tcPr>
            <w:tcW w:w="4920" w:type="dxa"/>
          </w:tcPr>
          <w:p>
            <w:pPr/>
            <w:r>
              <w:t xml:space="preserve">On assignment the receiver is sent one message containing a 4-digit verification code and a tracking link. The code is valid for that delivery only</w:t>
            </w:r>
          </w:p>
        </w:tc>
        <w:tc>
          <w:tcPr>
            <w:tcW w:w="3415" w:type="dxa"/>
          </w:tcPr>
          <w:p>
            <w:pPr/>
            <w:r>
              <w:t xml:space="preserve">Decision: tracking link; assumption: 4 digits</w:t>
            </w:r>
          </w:p>
        </w:tc>
      </w:tr>
      <w:tr>
        <w:tc>
          <w:tcPr>
            <w:tcW w:w="1025" w:type="dxa"/>
          </w:tcPr>
          <w:p>
            <w:pPr/>
            <w:r>
              <w:t xml:space="preserve">RUL-17</w:t>
            </w:r>
          </w:p>
        </w:tc>
        <w:tc>
          <w:tcPr>
            <w:tcW w:w="4920" w:type="dxa"/>
          </w:tcPr>
          <w:p>
            <w:pPr/>
            <w:r>
              <w:t xml:space="preserve">Arrival at the vendor is recorded by the cyclist's tap or automatically by location; pickup is recorded when the cyclist confirms handover. If handover is not confirmed within 5 minutes of arrival, the system flags a </w:t>
            </w:r>
            <w:r>
              <w:rPr>
                <w:i/>
              </w:rPr>
              <w:t xml:space="preserve">vendor delay</w:t>
            </w:r>
            <w:r>
              <w:t xml:space="preserve"> automatically; the delay is attributed to the vendor and excluded from the cyclist's performance. No cyclist action is required</w:t>
            </w:r>
          </w:p>
        </w:tc>
        <w:tc>
          <w:tcPr>
            <w:tcW w:w="3415" w:type="dxa"/>
          </w:tcPr>
          <w:p>
            <w:pPr/>
            <w:r>
              <w:t xml:space="preserve">Assumption</w:t>
            </w:r>
          </w:p>
        </w:tc>
      </w:tr>
      <w:tr>
        <w:tc>
          <w:tcPr>
            <w:tcW w:w="1025" w:type="dxa"/>
          </w:tcPr>
          <w:p>
            <w:pPr/>
            <w:r>
              <w:t xml:space="preserve">RUL-18</w:t>
            </w:r>
          </w:p>
        </w:tc>
        <w:tc>
          <w:tcPr>
            <w:tcW w:w="4920" w:type="dxa"/>
          </w:tcPr>
          <w:p>
            <w:pPr/>
            <w:r>
              <w:t xml:space="preserve">Delivery is recorded when the cyclist enters the receiver's code. If the receiver cannot produce the code but is present and confirms identity by phone number, the cyclist may record </w:t>
            </w:r>
            <w:r>
              <w:rPr>
                <w:i/>
              </w:rPr>
              <w:t xml:space="preserve">Delivered without code</w:t>
            </w:r>
            <w:r>
              <w:t xml:space="preserve"> with a reason, which the system admin reviews</w:t>
            </w:r>
          </w:p>
        </w:tc>
        <w:tc>
          <w:tcPr>
            <w:tcW w:w="3415" w:type="dxa"/>
          </w:tcPr>
          <w:p>
            <w:pPr/>
            <w:r>
              <w:t xml:space="preserve">Assumption</w:t>
            </w:r>
          </w:p>
        </w:tc>
      </w:tr>
      <w:tr>
        <w:tc>
          <w:tcPr>
            <w:tcW w:w="1025" w:type="dxa"/>
          </w:tcPr>
          <w:p>
            <w:pPr/>
            <w:r>
              <w:t xml:space="preserve">RUL-19</w:t>
            </w:r>
          </w:p>
        </w:tc>
        <w:tc>
          <w:tcPr>
            <w:tcW w:w="4920" w:type="dxa"/>
          </w:tcPr>
          <w:p>
            <w:pPr/>
            <w:r>
              <w:t xml:space="preserve">If the receiver is unreachable: the cyclist waits 10 minutes at the address and makes two phone attempts; the system admin attempts the vendor's customer number once; if still unreachable the delivery is marked </w:t>
            </w:r>
            <w:r>
              <w:rPr>
                <w:i/>
              </w:rPr>
              <w:t xml:space="preserve">Failed — receiver unreachable</w:t>
            </w:r>
            <w:r>
              <w:t xml:space="preserve"> and the food is returned to the vendor</w:t>
            </w:r>
          </w:p>
        </w:tc>
        <w:tc>
          <w:tcPr>
            <w:tcW w:w="3415" w:type="dxa"/>
          </w:tcPr>
          <w:p>
            <w:pPr/>
            <w:r>
              <w:t xml:space="preserve">Assumption</w:t>
            </w:r>
          </w:p>
        </w:tc>
      </w:tr>
      <w:tr>
        <w:tc>
          <w:tcPr>
            <w:tcW w:w="1025" w:type="dxa"/>
          </w:tcPr>
          <w:p>
            <w:pPr/>
            <w:r>
              <w:t xml:space="preserve">RUL-20</w:t>
            </w:r>
          </w:p>
        </w:tc>
        <w:tc>
          <w:tcPr>
            <w:tcW w:w="4920" w:type="dxa"/>
          </w:tcPr>
          <w:p>
            <w:pPr/>
            <w:r>
              <w:t xml:space="preserve">A vendor may cancel a request before pickup; after pickup only the system admin may cancel. Every cancellation records who cancelled and why</w:t>
            </w:r>
          </w:p>
        </w:tc>
        <w:tc>
          <w:tcPr>
            <w:tcW w:w="3415" w:type="dxa"/>
          </w:tcPr>
          <w:p>
            <w:pPr/>
            <w:r>
              <w:t xml:space="preserve">Assumption</w:t>
            </w:r>
          </w:p>
        </w:tc>
      </w:tr>
    </w:tbl>
    <w:p>
      <w:pPr/>
      <w:r>
        <w:rPr>
          <w:b/>
        </w:rPr>
        <w:t xml:space="preserve">Records and reporting</w:t>
      </w:r>
    </w:p>
    <w:tbl>
      <w:tblPr>
        <w:tblStyle w:val="TableGrid"/>
        <w:tblW w:w="0" w:type="auto"/>
        <w:tblLayout w:type="fixed"/>
        <w:tblLook w:val="04A0" w:firstRow="1" w:lastRow="0" w:firstColumn="0" w:lastColumn="0" w:noHBand="0" w:noVBand="1"/>
      </w:tblPr>
      <w:tblGrid>
        <w:gridCol w:w="1293"/>
        <w:gridCol w:w="6210"/>
        <w:gridCol w:w="1855"/>
      </w:tblGrid>
      <w:tr>
        <w:trPr>
          <w:tblHeader/>
        </w:trPr>
        <w:tc>
          <w:tcPr>
            <w:tcW w:w="1293" w:type="dxa"/>
            <w:shd w:val="clear" w:color="auto" w:fill="F2F2F2"/>
          </w:tcPr>
          <w:p>
            <w:pPr/>
            <w:r>
              <w:t xml:space="preserve">ID</w:t>
            </w:r>
          </w:p>
        </w:tc>
        <w:tc>
          <w:tcPr>
            <w:tcW w:w="6210" w:type="dxa"/>
            <w:shd w:val="clear" w:color="auto" w:fill="F2F2F2"/>
          </w:tcPr>
          <w:p>
            <w:pPr/>
            <w:r>
              <w:t xml:space="preserve">Rule</w:t>
            </w:r>
          </w:p>
        </w:tc>
        <w:tc>
          <w:tcPr>
            <w:tcW w:w="1855" w:type="dxa"/>
            <w:shd w:val="clear" w:color="auto" w:fill="F2F2F2"/>
          </w:tcPr>
          <w:p>
            <w:pPr/>
            <w:r>
              <w:t xml:space="preserve">Label</w:t>
            </w:r>
          </w:p>
        </w:tc>
      </w:tr>
      <w:tr>
        <w:tc>
          <w:tcPr>
            <w:tcW w:w="1293" w:type="dxa"/>
          </w:tcPr>
          <w:p>
            <w:pPr/>
            <w:r>
              <w:t xml:space="preserve">RUL-21</w:t>
            </w:r>
          </w:p>
        </w:tc>
        <w:tc>
          <w:tcPr>
            <w:tcW w:w="6210" w:type="dxa"/>
          </w:tcPr>
          <w:p>
            <w:pPr/>
            <w:r>
              <w:t xml:space="preserve">A delivery's lifecycle is: Pending payment → Active → Awaiting cyclist (optional) → Assigned → Picked up → Delivered, or → Failed, or → Cancelled. Every transition is timestamped and attributed</w:t>
            </w:r>
          </w:p>
        </w:tc>
        <w:tc>
          <w:tcPr>
            <w:tcW w:w="1855" w:type="dxa"/>
          </w:tcPr>
          <w:p>
            <w:pPr/>
            <w:r>
              <w:t xml:space="preserve">Assumption</w:t>
            </w:r>
          </w:p>
        </w:tc>
      </w:tr>
      <w:tr>
        <w:tc>
          <w:tcPr>
            <w:tcW w:w="1293" w:type="dxa"/>
          </w:tcPr>
          <w:p>
            <w:pPr/>
            <w:r>
              <w:t xml:space="preserve">RUL-22</w:t>
            </w:r>
          </w:p>
        </w:tc>
        <w:tc>
          <w:tcPr>
            <w:tcW w:w="6210" w:type="dxa"/>
          </w:tcPr>
          <w:p>
            <w:pPr/>
            <w:r>
              <w:t xml:space="preserve">Weekly statements run every Monday for the preceding Monday–Sunday and are available to the vendor the same day</w:t>
            </w:r>
          </w:p>
        </w:tc>
        <w:tc>
          <w:tcPr>
            <w:tcW w:w="1855" w:type="dxa"/>
          </w:tcPr>
          <w:p>
            <w:pPr/>
            <w:r>
              <w:t xml:space="preserve">Assumption</w:t>
            </w:r>
          </w:p>
        </w:tc>
      </w:tr>
      <w:tr>
        <w:tc>
          <w:tcPr>
            <w:tcW w:w="1293" w:type="dxa"/>
          </w:tcPr>
          <w:p>
            <w:pPr/>
            <w:r>
              <w:t xml:space="preserve">RUL-23</w:t>
            </w:r>
          </w:p>
        </w:tc>
        <w:tc>
          <w:tcPr>
            <w:tcW w:w="6210" w:type="dxa"/>
          </w:tcPr>
          <w:p>
            <w:pPr/>
            <w:r>
              <w:t xml:space="preserve">The system admin receives an alert for any delivery not picked up within 10 minutes of assignment or not delivered within 30 minutes of pickup</w:t>
            </w:r>
          </w:p>
        </w:tc>
        <w:tc>
          <w:tcPr>
            <w:tcW w:w="1855" w:type="dxa"/>
          </w:tcPr>
          <w:p>
            <w:pPr/>
            <w:r>
              <w:t xml:space="preserve">Assumption</w:t>
            </w:r>
          </w:p>
        </w:tc>
      </w:tr>
    </w:tbl>
    <w:p>
      <w:pPr/>
      <w:r>
        <w:rPr>
          <w:b/>
        </w:rPr>
        <w:t xml:space="preserve">Package limits</w:t>
      </w:r>
      <w:r>
        <w:t xml:space="preserve"> (added 6 Oct 2026)</w:t>
      </w:r>
    </w:p>
    <w:tbl>
      <w:tblPr>
        <w:tblStyle w:val="TableGrid"/>
        <w:tblW w:w="0" w:type="auto"/>
        <w:tblLayout w:type="fixed"/>
        <w:tblLook w:val="04A0" w:firstRow="1" w:lastRow="0" w:firstColumn="0" w:lastColumn="0" w:noHBand="0" w:noVBand="1"/>
      </w:tblPr>
      <w:tblGrid>
        <w:gridCol w:w="1025"/>
        <w:gridCol w:w="4920"/>
        <w:gridCol w:w="3415"/>
      </w:tblGrid>
      <w:tr>
        <w:trPr>
          <w:tblHeader/>
        </w:trPr>
        <w:tc>
          <w:tcPr>
            <w:tcW w:w="1025" w:type="dxa"/>
            <w:shd w:val="clear" w:color="auto" w:fill="F2F2F2"/>
          </w:tcPr>
          <w:p>
            <w:pPr/>
            <w:r>
              <w:t xml:space="preserve">ID</w:t>
            </w:r>
          </w:p>
        </w:tc>
        <w:tc>
          <w:tcPr>
            <w:tcW w:w="4920" w:type="dxa"/>
            <w:shd w:val="clear" w:color="auto" w:fill="F2F2F2"/>
          </w:tcPr>
          <w:p>
            <w:pPr/>
            <w:r>
              <w:t xml:space="preserve">Rule</w:t>
            </w:r>
          </w:p>
        </w:tc>
        <w:tc>
          <w:tcPr>
            <w:tcW w:w="3415" w:type="dxa"/>
            <w:shd w:val="clear" w:color="auto" w:fill="F2F2F2"/>
          </w:tcPr>
          <w:p>
            <w:pPr/>
            <w:r>
              <w:t xml:space="preserve">Label</w:t>
            </w:r>
          </w:p>
        </w:tc>
      </w:tr>
      <w:tr>
        <w:tc>
          <w:tcPr>
            <w:tcW w:w="1025" w:type="dxa"/>
          </w:tcPr>
          <w:p>
            <w:pPr/>
            <w:r>
              <w:t xml:space="preserve">RUL-24</w:t>
            </w:r>
          </w:p>
        </w:tc>
        <w:tc>
          <w:tcPr>
            <w:tcW w:w="4920" w:type="dxa"/>
          </w:tcPr>
          <w:p>
            <w:pPr/>
            <w:r>
              <w:t xml:space="preserve">A package must fit the cyclist's 40-litre carrier bag, weigh no more than 8 kg, have a declared value of no more than ₦50,000, and not be on the prohibited list (cash, weapons, drugs, hazardous or flammable goods, live animals, anything illegal). The vendor confirms this at request; the cyclist may refuse at pickup, which cancels the request with the post-assignment cancellation fee applied</w:t>
            </w:r>
          </w:p>
        </w:tc>
        <w:tc>
          <w:tcPr>
            <w:tcW w:w="3415" w:type="dxa"/>
          </w:tcPr>
          <w:p>
            <w:pPr/>
            <w:r>
              <w:t xml:space="preserve">Assumption: limits; value cap aligned with Bolt Send's published ₦50,000 limit (source)</w:t>
            </w:r>
          </w:p>
        </w:tc>
      </w:tr>
    </w:tbl>
    <w:p>
      <w:pPr>
        <w:pStyle w:val="Heading2"/>
      </w:pPr>
      <w:r>
        <w:t xml:space="preserve">11. Scope</w:t>
      </w:r>
    </w:p>
    <w:p>
      <w:pPr/>
      <w:r>
        <w:t xml:space="preserve">The pilot is one zone, small food vendors, direct orders, bicycles, prepaid fixed-rate requests and a vendor-initiated platform with a receiver status link. Deferred items have a reason; nothing is dropped silently.</w:t>
      </w:r>
    </w:p>
    <w:p>
      <w:pPr/>
      <w:r>
        <w:rPr>
          <w:b/>
        </w:rPr>
        <w:t xml:space="preserve">Scope decision, 6 Oct 2026 — from food to packages.</w:t>
      </w:r>
      <w:r>
        <w:t xml:space="preserve"> The sponsor broadened the platform from food delivery to package delivery for small vendors, so the product is not limited before the pilot proves the model. The </w:t>
      </w:r>
      <w:r>
        <w:rPr>
          <w:b/>
        </w:rPr>
        <w:t xml:space="preserve">pilot segment remains food vendors</w:t>
      </w:r>
      <w:r>
        <w:t xml:space="preserve">: all Phase 2–3 evidence (nightlife peak, retained-rider behaviour, price comparison) is about food, and the beachhead should be where the evidence is. The platform, rules and language are package-neutral; food is one package category. Consequences: package limits (BR-23, RUL-24); Bolt Send becomes a more direct competitor for non-food packages, where Airand's peak-time advantage is weaker; the Business Understanding Document and Market Research reflect the food-only framing at the time they were written and are kept as the record.</w:t>
      </w:r>
    </w:p>
    <w:tbl>
      <w:tblPr>
        <w:tblStyle w:val="TableGrid"/>
        <w:tblW w:w="0" w:type="auto"/>
        <w:tblLayout w:type="fixed"/>
        <w:tblLook w:val="04A0" w:firstRow="1" w:lastRow="0" w:firstColumn="0" w:lastColumn="0" w:noHBand="0" w:noVBand="1"/>
      </w:tblPr>
      <w:tblGrid>
        <w:gridCol w:w="1470"/>
        <w:gridCol w:w="2805"/>
        <w:gridCol w:w="3530"/>
        <w:gridCol w:w="1555"/>
      </w:tblGrid>
      <w:tr>
        <w:trPr>
          <w:tblHeader/>
        </w:trPr>
        <w:tc>
          <w:tcPr>
            <w:tcW w:w="1470" w:type="dxa"/>
            <w:shd w:val="clear" w:color="auto" w:fill="F2F2F2"/>
          </w:tcPr>
          <w:p>
            <w:pPr/>
            <w:r>
              <w:t xml:space="preserve">Area</w:t>
            </w:r>
          </w:p>
        </w:tc>
        <w:tc>
          <w:tcPr>
            <w:tcW w:w="2805" w:type="dxa"/>
            <w:shd w:val="clear" w:color="auto" w:fill="F2F2F2"/>
          </w:tcPr>
          <w:p>
            <w:pPr/>
            <w:r>
              <w:t xml:space="preserve">In scope (pilot)</w:t>
            </w:r>
          </w:p>
        </w:tc>
        <w:tc>
          <w:tcPr>
            <w:tcW w:w="3530" w:type="dxa"/>
            <w:shd w:val="clear" w:color="auto" w:fill="F2F2F2"/>
          </w:tcPr>
          <w:p>
            <w:pPr/>
            <w:r>
              <w:t xml:space="preserve">Deferred (with reason)</w:t>
            </w:r>
          </w:p>
        </w:tc>
        <w:tc>
          <w:tcPr>
            <w:tcW w:w="1555" w:type="dxa"/>
            <w:shd w:val="clear" w:color="auto" w:fill="F2F2F2"/>
          </w:tcPr>
          <w:p>
            <w:pPr/>
            <w:r>
              <w:t xml:space="preserve">Out of scope</w:t>
            </w:r>
          </w:p>
        </w:tc>
      </w:tr>
      <w:tr>
        <w:tc>
          <w:tcPr>
            <w:tcW w:w="1470" w:type="dxa"/>
          </w:tcPr>
          <w:p>
            <w:pPr/>
            <w:r>
              <w:t xml:space="preserve">Geography</w:t>
            </w:r>
          </w:p>
        </w:tc>
        <w:tc>
          <w:tcPr>
            <w:tcW w:w="2805" w:type="dxa"/>
          </w:tcPr>
          <w:p>
            <w:pPr/>
            <w:r>
              <w:t xml:space="preserve">One zone around a World Bank Road hub, New Owerri (candidate; to be confirmed by vendor count)</w:t>
            </w:r>
          </w:p>
        </w:tc>
        <w:tc>
          <w:tcPr>
            <w:tcW w:w="3530" w:type="dxa"/>
          </w:tcPr>
          <w:p>
            <w:pPr/>
            <w:r>
              <w:t xml:space="preserve">Second and further zones once the first sustains ≥ 50 deliveries/day for 4 weeks</w:t>
            </w:r>
          </w:p>
        </w:tc>
        <w:tc>
          <w:tcPr>
            <w:tcW w:w="1555" w:type="dxa"/>
          </w:tcPr>
          <w:p>
            <w:pPr/>
            <w:r>
              <w:t xml:space="preserve">Other cities</w:t>
            </w:r>
          </w:p>
        </w:tc>
      </w:tr>
      <w:tr>
        <w:tc>
          <w:tcPr>
            <w:tcW w:w="1470" w:type="dxa"/>
          </w:tcPr>
          <w:p>
            <w:pPr/>
            <w:r>
              <w:t xml:space="preserve">Vendors</w:t>
            </w:r>
          </w:p>
        </w:tc>
        <w:tc>
          <w:tcPr>
            <w:tcW w:w="2805" w:type="dxa"/>
          </w:tcPr>
          <w:p>
            <w:pPr/>
            <w:r>
              <w:t xml:space="preserve">Any food vendor inside the zone, registered or not</w:t>
            </w:r>
          </w:p>
        </w:tc>
        <w:tc>
          <w:tcPr>
            <w:tcW w:w="3530" w:type="dxa"/>
          </w:tcPr>
          <w:p>
            <w:pPr/>
            <w:r>
              <w:t xml:space="preserve">Larger eateries wanting overflow capacity — needs a different pricing model</w:t>
            </w:r>
          </w:p>
        </w:tc>
        <w:tc>
          <w:tcPr>
            <w:tcW w:w="1555" w:type="dxa"/>
          </w:tcPr>
          <w:p>
            <w:pPr/>
            <w:r>
              <w:t xml:space="preserve">Non-food merchants</w:t>
            </w:r>
          </w:p>
        </w:tc>
      </w:tr>
      <w:tr>
        <w:tc>
          <w:tcPr>
            <w:tcW w:w="1470" w:type="dxa"/>
          </w:tcPr>
          <w:p>
            <w:pPr/>
            <w:r>
              <w:t xml:space="preserve">Order source</w:t>
            </w:r>
          </w:p>
        </w:tc>
        <w:tc>
          <w:tcPr>
            <w:tcW w:w="2805" w:type="dxa"/>
          </w:tcPr>
          <w:p>
            <w:pPr/>
            <w:r>
              <w:t xml:space="preserve">The vendor's own direct channels</w:t>
            </w:r>
          </w:p>
        </w:tc>
        <w:tc>
          <w:tcPr>
            <w:tcW w:w="3530" w:type="dxa"/>
          </w:tcPr>
          <w:p>
            <w:pPr/>
            <w:r>
              <w:t xml:space="preserve">Customer-initiated requests — needs a consumer app and payment; marketplace API — no partner yet</w:t>
            </w:r>
          </w:p>
        </w:tc>
        <w:tc>
          <w:tcPr>
            <w:tcW w:w="1555" w:type="dxa"/>
          </w:tcPr>
          <w:p>
            <w:pPr/>
            <w:r>
              <w:t xml:space="preserve">Airand as an ordering marketplace</w:t>
            </w:r>
          </w:p>
        </w:tc>
      </w:tr>
      <w:tr>
        <w:tc>
          <w:tcPr>
            <w:tcW w:w="1470" w:type="dxa"/>
          </w:tcPr>
          <w:p>
            <w:pPr/>
            <w:r>
              <w:t xml:space="preserve">Fleet</w:t>
            </w:r>
          </w:p>
        </w:tc>
        <w:tc>
          <w:tcPr>
            <w:tcW w:w="2805" w:type="dxa"/>
          </w:tcPr>
          <w:p>
            <w:pPr/>
            <w:r>
              <w:t xml:space="preserve">Bicycles</w:t>
            </w:r>
          </w:p>
        </w:tc>
        <w:tc>
          <w:tcPr>
            <w:tcW w:w="3530" w:type="dxa"/>
          </w:tcPr>
          <w:p>
            <w:pPr/>
            <w:r>
              <w:t xml:space="preserve">Motorbikes for longer hops — changes licence, cost and insurance</w:t>
            </w:r>
          </w:p>
        </w:tc>
        <w:tc>
          <w:tcPr>
            <w:tcW w:w="1555" w:type="dxa"/>
          </w:tcPr>
          <w:p>
            <w:pPr/>
            <w:r>
              <w:t xml:space="preserve">Cars, inter-city</w:t>
            </w:r>
          </w:p>
        </w:tc>
      </w:tr>
      <w:tr>
        <w:tc>
          <w:tcPr>
            <w:tcW w:w="1470" w:type="dxa"/>
          </w:tcPr>
          <w:p>
            <w:pPr/>
            <w:r>
              <w:t xml:space="preserve">Requesting and payment</w:t>
            </w:r>
          </w:p>
        </w:tc>
        <w:tc>
          <w:tcPr>
            <w:tcW w:w="2805" w:type="dxa"/>
          </w:tcPr>
          <w:p>
            <w:pPr/>
            <w:r>
              <w:t xml:space="preserve">Vendor request form; wallet or transfer-per-request; payment before activation</w:t>
            </w:r>
          </w:p>
        </w:tc>
        <w:tc>
          <w:tcPr>
            <w:tcW w:w="3530" w:type="dxa"/>
          </w:tcPr>
          <w:p>
            <w:pPr/>
            <w:r>
              <w:t xml:space="preserve">Card payment; receiver-pays option — requires consumer payment flow</w:t>
            </w:r>
          </w:p>
        </w:tc>
        <w:tc>
          <w:tcPr>
            <w:tcW w:w="1555" w:type="dxa"/>
          </w:tcPr>
          <w:p>
            <w:pPr/>
            <w:r>
              <w:t xml:space="preserve">Commission on food</w:t>
            </w:r>
          </w:p>
        </w:tc>
      </w:tr>
      <w:tr>
        <w:tc>
          <w:tcPr>
            <w:tcW w:w="1470" w:type="dxa"/>
          </w:tcPr>
          <w:p>
            <w:pPr/>
            <w:r>
              <w:t xml:space="preserve">Assignment</w:t>
            </w:r>
          </w:p>
        </w:tc>
        <w:tc>
          <w:tcPr>
            <w:tcW w:w="2805" w:type="dxa"/>
          </w:tcPr>
          <w:p>
            <w:pPr/>
            <w:r>
              <w:t xml:space="preserve">System auto-assignment with system admin override</w:t>
            </w:r>
          </w:p>
        </w:tc>
        <w:tc>
          <w:tcPr>
            <w:tcW w:w="3530" w:type="dxa"/>
          </w:tcPr>
          <w:p>
            <w:pPr/>
            <w:r>
              <w:t xml:space="preserve">Route optimisation; batching two orders per trip — needs volume data</w:t>
            </w:r>
          </w:p>
        </w:tc>
        <w:tc>
          <w:tcPr>
            <w:tcW w:w="1555" w:type="dxa"/>
          </w:tcPr>
          <w:p>
            <w:pPr/>
            <w:r>
              <w:t xml:space="preserve">—</w:t>
            </w:r>
          </w:p>
        </w:tc>
      </w:tr>
      <w:tr>
        <w:tc>
          <w:tcPr>
            <w:tcW w:w="1470" w:type="dxa"/>
          </w:tcPr>
          <w:p>
            <w:pPr/>
            <w:r>
              <w:t xml:space="preserve">Visibility</w:t>
            </w:r>
          </w:p>
        </w:tc>
        <w:tc>
          <w:tcPr>
            <w:tcW w:w="2805" w:type="dxa"/>
          </w:tcPr>
          <w:p>
            <w:pPr/>
            <w:r>
              <w:t xml:space="preserve">Receiver status link with ETA; vendor active/history views; live admin console</w:t>
            </w:r>
          </w:p>
        </w:tc>
        <w:tc>
          <w:tcPr>
            <w:tcW w:w="3530" w:type="dxa"/>
          </w:tcPr>
          <w:p>
            <w:pPr/>
            <w:r>
              <w:t xml:space="preserve">Live map for receivers; vendor-facing analytics beyond the weekly statement</w:t>
            </w:r>
          </w:p>
        </w:tc>
        <w:tc>
          <w:tcPr>
            <w:tcW w:w="1555" w:type="dxa"/>
          </w:tcPr>
          <w:p>
            <w:pPr/>
            <w:r>
              <w:t xml:space="preserve">—</w:t>
            </w:r>
          </w:p>
        </w:tc>
      </w:tr>
      <w:tr>
        <w:tc>
          <w:tcPr>
            <w:tcW w:w="1470" w:type="dxa"/>
          </w:tcPr>
          <w:p>
            <w:pPr/>
            <w:r>
              <w:t xml:space="preserve">Proof of delivery</w:t>
            </w:r>
          </w:p>
        </w:tc>
        <w:tc>
          <w:tcPr>
            <w:tcW w:w="2805" w:type="dxa"/>
          </w:tcPr>
          <w:p>
            <w:pPr/>
            <w:r>
              <w:t xml:space="preserve">Receiver code; pickup confirmation</w:t>
            </w:r>
          </w:p>
        </w:tc>
        <w:tc>
          <w:tcPr>
            <w:tcW w:w="3530" w:type="dxa"/>
          </w:tcPr>
          <w:p>
            <w:pPr/>
            <w:r>
              <w:t xml:space="preserve">Photo proof; signature</w:t>
            </w:r>
          </w:p>
        </w:tc>
        <w:tc>
          <w:tcPr>
            <w:tcW w:w="1555" w:type="dxa"/>
          </w:tcPr>
          <w:p>
            <w:pPr/>
            <w:r>
              <w:t xml:space="preserve">—</w:t>
            </w:r>
          </w:p>
        </w:tc>
      </w:tr>
      <w:tr>
        <w:tc>
          <w:tcPr>
            <w:tcW w:w="1470" w:type="dxa"/>
          </w:tcPr>
          <w:p>
            <w:pPr/>
            <w:r>
              <w:t xml:space="preserve">Reporting</w:t>
            </w:r>
          </w:p>
        </w:tc>
        <w:tc>
          <w:tcPr>
            <w:tcW w:w="2805" w:type="dxa"/>
          </w:tcPr>
          <w:p>
            <w:pPr/>
            <w:r>
              <w:t xml:space="preserve">Management KPIs by zone, day, hour</w:t>
            </w:r>
          </w:p>
        </w:tc>
        <w:tc>
          <w:tcPr>
            <w:tcW w:w="3530" w:type="dxa"/>
          </w:tcPr>
          <w:p>
            <w:pPr/>
            <w:r>
              <w:t xml:space="preserve">Forecasting; cyclist incentive analytics</w:t>
            </w:r>
          </w:p>
        </w:tc>
        <w:tc>
          <w:tcPr>
            <w:tcW w:w="1555" w:type="dxa"/>
          </w:tcPr>
          <w:p>
            <w:pPr/>
            <w:r>
              <w:t xml:space="preserve">—</w:t>
            </w:r>
          </w:p>
        </w:tc>
      </w:tr>
    </w:tbl>
    <w:p>
      <w:pPr>
        <w:pStyle w:val="Heading2"/>
      </w:pPr>
      <w:r>
        <w:t xml:space="preserve">12. Assumptions and constraints</w:t>
      </w:r>
    </w:p>
    <w:p>
      <w:pPr/>
      <w:r>
        <w:rPr>
          <w:b/>
        </w:rPr>
        <w:t xml:space="preserve">Assumptions</w:t>
      </w:r>
      <w:r>
        <w:t xml:space="preserve"> (full register A-01 to A-20 in the Business Understanding Document and Market Research; the ones that bear directly on these requirements)</w:t>
      </w:r>
    </w:p>
    <w:tbl>
      <w:tblPr>
        <w:tblStyle w:val="TableGrid"/>
        <w:tblW w:w="0" w:type="auto"/>
        <w:tblLayout w:type="fixed"/>
        <w:tblLook w:val="04A0" w:firstRow="1" w:lastRow="0" w:firstColumn="0" w:lastColumn="0" w:noHBand="0" w:noVBand="1"/>
      </w:tblPr>
      <w:tblGrid>
        <w:gridCol w:w="720"/>
        <w:gridCol w:w="3872"/>
        <w:gridCol w:w="1636"/>
        <w:gridCol w:w="3132"/>
      </w:tblGrid>
      <w:tr>
        <w:trPr>
          <w:tblHeader/>
        </w:trPr>
        <w:tc>
          <w:tcPr>
            <w:tcW w:w="720" w:type="dxa"/>
            <w:shd w:val="clear" w:color="auto" w:fill="F2F2F2"/>
          </w:tcPr>
          <w:p>
            <w:pPr/>
            <w:r>
              <w:t xml:space="preserve">ID</w:t>
            </w:r>
          </w:p>
        </w:tc>
        <w:tc>
          <w:tcPr>
            <w:tcW w:w="3872" w:type="dxa"/>
            <w:shd w:val="clear" w:color="auto" w:fill="F2F2F2"/>
          </w:tcPr>
          <w:p>
            <w:pPr/>
            <w:r>
              <w:t xml:space="preserve">Assumption</w:t>
            </w:r>
          </w:p>
        </w:tc>
        <w:tc>
          <w:tcPr>
            <w:tcW w:w="1636" w:type="dxa"/>
            <w:shd w:val="clear" w:color="auto" w:fill="F2F2F2"/>
          </w:tcPr>
          <w:p>
            <w:pPr/>
            <w:r>
              <w:t xml:space="preserve">Status</w:t>
            </w:r>
          </w:p>
        </w:tc>
        <w:tc>
          <w:tcPr>
            <w:tcW w:w="3132" w:type="dxa"/>
            <w:shd w:val="clear" w:color="auto" w:fill="F2F2F2"/>
          </w:tcPr>
          <w:p>
            <w:pPr/>
            <w:r>
              <w:t xml:space="preserve">Impact if wrong</w:t>
            </w:r>
          </w:p>
        </w:tc>
      </w:tr>
      <w:tr>
        <w:tc>
          <w:tcPr>
            <w:tcW w:w="720" w:type="dxa"/>
          </w:tcPr>
          <w:p>
            <w:pPr/>
            <w:r>
              <w:t xml:space="preserve">A-07</w:t>
            </w:r>
          </w:p>
        </w:tc>
        <w:tc>
          <w:tcPr>
            <w:tcW w:w="3872" w:type="dxa"/>
          </w:tcPr>
          <w:p>
            <w:pPr/>
            <w:r>
              <w:t xml:space="preserve">The zone can generate ≥ 50 deliveries/day by month 3</w:t>
            </w:r>
          </w:p>
        </w:tc>
        <w:tc>
          <w:tcPr>
            <w:tcW w:w="1636" w:type="dxa"/>
          </w:tcPr>
          <w:p>
            <w:pPr/>
            <w:r>
              <w:t xml:space="preserve">Open; requirement, not target</w:t>
            </w:r>
          </w:p>
        </w:tc>
        <w:tc>
          <w:tcPr>
            <w:tcW w:w="3132" w:type="dxa"/>
          </w:tcPr>
          <w:p>
            <w:pPr/>
            <w:r>
              <w:t xml:space="preserve">Pool must shrink (BR-03) or pilot is loss-making</w:t>
            </w:r>
          </w:p>
        </w:tc>
      </w:tr>
      <w:tr>
        <w:tc>
          <w:tcPr>
            <w:tcW w:w="720" w:type="dxa"/>
          </w:tcPr>
          <w:p>
            <w:pPr/>
            <w:r>
              <w:t xml:space="preserve">A-10</w:t>
            </w:r>
          </w:p>
        </w:tc>
        <w:tc>
          <w:tcPr>
            <w:tcW w:w="3872" w:type="dxa"/>
          </w:tcPr>
          <w:p>
            <w:pPr/>
            <w:r>
              <w:t xml:space="preserve">≥ 8 vendors including 2 anchors exist within 2.5 km of the hub</w:t>
            </w:r>
          </w:p>
        </w:tc>
        <w:tc>
          <w:tcPr>
            <w:tcW w:w="1636" w:type="dxa"/>
          </w:tcPr>
          <w:p>
            <w:pPr/>
            <w:r>
              <w:t xml:space="preserve">Open; map exercise pending</w:t>
            </w:r>
          </w:p>
        </w:tc>
        <w:tc>
          <w:tcPr>
            <w:tcW w:w="3132" w:type="dxa"/>
          </w:tcPr>
          <w:p>
            <w:pPr/>
            <w:r>
              <w:t xml:space="preserve">Zone relocates or widens</w:t>
            </w:r>
          </w:p>
        </w:tc>
      </w:tr>
      <w:tr>
        <w:tc>
          <w:tcPr>
            <w:tcW w:w="720" w:type="dxa"/>
          </w:tcPr>
          <w:p>
            <w:pPr/>
            <w:r>
              <w:t xml:space="preserve">A-12</w:t>
            </w:r>
          </w:p>
        </w:tc>
        <w:tc>
          <w:tcPr>
            <w:tcW w:w="3872" w:type="dxa"/>
          </w:tcPr>
          <w:p>
            <w:pPr/>
            <w:r>
              <w:t xml:space="preserve">Vendors will prepay a fixed ₦900 fee</w:t>
            </w:r>
          </w:p>
        </w:tc>
        <w:tc>
          <w:tcPr>
            <w:tcW w:w="1636" w:type="dxa"/>
          </w:tcPr>
          <w:p>
            <w:pPr/>
            <w:r>
              <w:t xml:space="preserve">Open</w:t>
            </w:r>
          </w:p>
        </w:tc>
        <w:tc>
          <w:tcPr>
            <w:tcW w:w="3132" w:type="dxa"/>
          </w:tcPr>
          <w:p>
            <w:pPr/>
            <w:r>
              <w:t xml:space="preserve">Rate or payment rule (RUL-01/02) changes</w:t>
            </w:r>
          </w:p>
        </w:tc>
      </w:tr>
      <w:tr>
        <w:tc>
          <w:tcPr>
            <w:tcW w:w="720" w:type="dxa"/>
          </w:tcPr>
          <w:p>
            <w:pPr/>
            <w:r>
              <w:t xml:space="preserve">A-13</w:t>
            </w:r>
          </w:p>
        </w:tc>
        <w:tc>
          <w:tcPr>
            <w:tcW w:w="3872" w:type="dxa"/>
          </w:tcPr>
          <w:p>
            <w:pPr/>
            <w:r>
              <w:t xml:space="preserve">Receivers can receive and relay a WhatsApp/SMS code</w:t>
            </w:r>
          </w:p>
        </w:tc>
        <w:tc>
          <w:tcPr>
            <w:tcW w:w="1636" w:type="dxa"/>
          </w:tcPr>
          <w:p>
            <w:pPr/>
            <w:r>
              <w:t xml:space="preserve">Open</w:t>
            </w:r>
          </w:p>
        </w:tc>
        <w:tc>
          <w:tcPr>
            <w:tcW w:w="3132" w:type="dxa"/>
          </w:tcPr>
          <w:p>
            <w:pPr/>
            <w:r>
              <w:t xml:space="preserve">Exception path (RUL-18/19) carries more volume</w:t>
            </w:r>
          </w:p>
        </w:tc>
      </w:tr>
      <w:tr>
        <w:tc>
          <w:tcPr>
            <w:tcW w:w="720" w:type="dxa"/>
          </w:tcPr>
          <w:p>
            <w:pPr/>
            <w:r>
              <w:t xml:space="preserve">A-14</w:t>
            </w:r>
          </w:p>
        </w:tc>
        <w:tc>
          <w:tcPr>
            <w:tcW w:w="3872" w:type="dxa"/>
          </w:tcPr>
          <w:p>
            <w:pPr/>
            <w:r>
              <w:t xml:space="preserve">Vendors will use an app to request</w:t>
            </w:r>
          </w:p>
        </w:tc>
        <w:tc>
          <w:tcPr>
            <w:tcW w:w="1636" w:type="dxa"/>
          </w:tcPr>
          <w:p>
            <w:pPr/>
            <w:r>
              <w:t xml:space="preserve">Open</w:t>
            </w:r>
          </w:p>
        </w:tc>
        <w:tc>
          <w:tcPr>
            <w:tcW w:w="3132" w:type="dxa"/>
          </w:tcPr>
          <w:p>
            <w:pPr/>
            <w:r>
              <w:t xml:space="preserve">Phone-to-system admin fallback needed</w:t>
            </w:r>
          </w:p>
        </w:tc>
      </w:tr>
      <w:tr>
        <w:tc>
          <w:tcPr>
            <w:tcW w:w="720" w:type="dxa"/>
          </w:tcPr>
          <w:p>
            <w:pPr/>
            <w:r>
              <w:t xml:space="preserve">A-15</w:t>
            </w:r>
          </w:p>
        </w:tc>
        <w:tc>
          <w:tcPr>
            <w:tcW w:w="3872" w:type="dxa"/>
          </w:tcPr>
          <w:p>
            <w:pPr/>
            <w:r>
              <w:t xml:space="preserve">CLRD Regional licence applies and is obtainable before launch</w:t>
            </w:r>
          </w:p>
        </w:tc>
        <w:tc>
          <w:tcPr>
            <w:tcW w:w="1636" w:type="dxa"/>
          </w:tcPr>
          <w:p>
            <w:pPr/>
            <w:r>
              <w:t xml:space="preserve">Confirmed applies; fee and timeline unknown</w:t>
            </w:r>
          </w:p>
        </w:tc>
        <w:tc>
          <w:tcPr>
            <w:tcW w:w="3132" w:type="dxa"/>
          </w:tcPr>
          <w:p>
            <w:pPr/>
            <w:r>
              <w:t xml:space="preserve">Launch date and fixed costs move</w:t>
            </w:r>
          </w:p>
        </w:tc>
      </w:tr>
    </w:tbl>
    <w:p>
      <w:pPr/>
      <w:r>
        <w:rPr>
          <w:b/>
        </w:rPr>
        <w:t xml:space="preserve">Constraints</w:t>
      </w:r>
    </w:p>
    <w:tbl>
      <w:tblPr>
        <w:tblStyle w:val="TableGrid"/>
        <w:tblW w:w="0" w:type="auto"/>
        <w:tblLayout w:type="fixed"/>
        <w:tblLook w:val="04A0" w:firstRow="1" w:lastRow="0" w:firstColumn="0" w:lastColumn="0" w:noHBand="0" w:noVBand="1"/>
      </w:tblPr>
      <w:tblGrid>
        <w:gridCol w:w="1025"/>
        <w:gridCol w:w="4920"/>
        <w:gridCol w:w="3415"/>
      </w:tblGrid>
      <w:tr>
        <w:trPr>
          <w:tblHeader/>
        </w:trPr>
        <w:tc>
          <w:tcPr>
            <w:tcW w:w="1025" w:type="dxa"/>
            <w:shd w:val="clear" w:color="auto" w:fill="F2F2F2"/>
          </w:tcPr>
          <w:p>
            <w:pPr/>
            <w:r>
              <w:t xml:space="preserve">ID</w:t>
            </w:r>
          </w:p>
        </w:tc>
        <w:tc>
          <w:tcPr>
            <w:tcW w:w="4920" w:type="dxa"/>
            <w:shd w:val="clear" w:color="auto" w:fill="F2F2F2"/>
          </w:tcPr>
          <w:p>
            <w:pPr/>
            <w:r>
              <w:t xml:space="preserve">Constraint</w:t>
            </w:r>
          </w:p>
        </w:tc>
        <w:tc>
          <w:tcPr>
            <w:tcW w:w="3415" w:type="dxa"/>
            <w:shd w:val="clear" w:color="auto" w:fill="F2F2F2"/>
          </w:tcPr>
          <w:p>
            <w:pPr/>
            <w:r>
              <w:t xml:space="preserve">Source</w:t>
            </w:r>
          </w:p>
        </w:tc>
      </w:tr>
      <w:tr>
        <w:tc>
          <w:tcPr>
            <w:tcW w:w="1025" w:type="dxa"/>
          </w:tcPr>
          <w:p>
            <w:pPr/>
            <w:r>
              <w:t xml:space="preserve">CON-01</w:t>
            </w:r>
          </w:p>
        </w:tc>
        <w:tc>
          <w:tcPr>
            <w:tcW w:w="4920" w:type="dxa"/>
          </w:tcPr>
          <w:p>
            <w:pPr/>
            <w:r>
              <w:t xml:space="preserve">Bicycles only in the pilot; range limits the zone to ~2.5 km</w:t>
            </w:r>
          </w:p>
        </w:tc>
        <w:tc>
          <w:tcPr>
            <w:tcW w:w="3415" w:type="dxa"/>
          </w:tcPr>
          <w:p>
            <w:pPr/>
            <w:r>
              <w:t xml:space="preserve">Founder non-negotiable (simulated interview E-06)</w:t>
            </w:r>
          </w:p>
        </w:tc>
      </w:tr>
      <w:tr>
        <w:tc>
          <w:tcPr>
            <w:tcW w:w="1025" w:type="dxa"/>
          </w:tcPr>
          <w:p>
            <w:pPr/>
            <w:r>
              <w:t xml:space="preserve">CON-02</w:t>
            </w:r>
          </w:p>
        </w:tc>
        <w:tc>
          <w:tcPr>
            <w:tcW w:w="4920" w:type="dxa"/>
          </w:tcPr>
          <w:p>
            <w:pPr/>
            <w:r>
              <w:t xml:space="preserve">Platform budget is modest: an MVP a small team can build, not a marketplace-scale app</w:t>
            </w:r>
          </w:p>
        </w:tc>
        <w:tc>
          <w:tcPr>
            <w:tcW w:w="3415" w:type="dxa"/>
          </w:tcPr>
          <w:p>
            <w:pPr/>
            <w:r>
              <w:t xml:space="preserve">Founder (simulated interview E-06)</w:t>
            </w:r>
          </w:p>
        </w:tc>
      </w:tr>
      <w:tr>
        <w:tc>
          <w:tcPr>
            <w:tcW w:w="1025" w:type="dxa"/>
          </w:tcPr>
          <w:p>
            <w:pPr/>
            <w:r>
              <w:t xml:space="preserve">CON-03</w:t>
            </w:r>
          </w:p>
        </w:tc>
        <w:tc>
          <w:tcPr>
            <w:tcW w:w="4920" w:type="dxa"/>
          </w:tcPr>
          <w:p>
            <w:pPr/>
            <w:r>
              <w:t xml:space="preserve">Cyclist app must work on low-cost Android phones with intermittent data</w:t>
            </w:r>
          </w:p>
        </w:tc>
        <w:tc>
          <w:tcPr>
            <w:tcW w:w="3415" w:type="dxa"/>
          </w:tcPr>
          <w:p>
            <w:pPr/>
            <w:r>
              <w:t xml:space="preserve">Cyclist elicitation (simulated interview E-05)</w:t>
            </w:r>
          </w:p>
        </w:tc>
      </w:tr>
      <w:tr>
        <w:tc>
          <w:tcPr>
            <w:tcW w:w="1025" w:type="dxa"/>
          </w:tcPr>
          <w:p>
            <w:pPr/>
            <w:r>
              <w:t xml:space="preserve">CON-04</w:t>
            </w:r>
          </w:p>
        </w:tc>
        <w:tc>
          <w:tcPr>
            <w:tcW w:w="4920" w:type="dxa"/>
          </w:tcPr>
          <w:p>
            <w:pPr/>
            <w:r>
              <w:t xml:space="preserve">No courier operation without CLRD licence and CAC registration</w:t>
            </w:r>
          </w:p>
        </w:tc>
        <w:tc>
          <w:tcPr>
            <w:tcW w:w="3415" w:type="dxa"/>
          </w:tcPr>
          <w:p>
            <w:pPr/>
            <w:r>
              <w:t xml:space="preserve">NIPOST Act s.45 (source)</w:t>
            </w:r>
          </w:p>
        </w:tc>
      </w:tr>
      <w:tr>
        <w:tc>
          <w:tcPr>
            <w:tcW w:w="1025" w:type="dxa"/>
          </w:tcPr>
          <w:p>
            <w:pPr/>
            <w:r>
              <w:t xml:space="preserve">CON-05</w:t>
            </w:r>
          </w:p>
        </w:tc>
        <w:tc>
          <w:tcPr>
            <w:tcW w:w="4920" w:type="dxa"/>
          </w:tcPr>
          <w:p>
            <w:pPr/>
            <w:r>
              <w:t xml:space="preserve">Delivery fee is the only revenue; no commission on food</w:t>
            </w:r>
          </w:p>
        </w:tc>
        <w:tc>
          <w:tcPr>
            <w:tcW w:w="3415" w:type="dxa"/>
          </w:tcPr>
          <w:p>
            <w:pPr/>
            <w:r>
              <w:t xml:space="preserve">Sponsor positioning (sponsor decision)</w:t>
            </w:r>
          </w:p>
        </w:tc>
      </w:tr>
    </w:tbl>
    <w:p>
      <w:pPr>
        <w:pStyle w:val="Heading2"/>
      </w:pPr>
      <w:r>
        <w:t xml:space="preserve">13. Risks</w:t>
      </w:r>
    </w:p>
    <w:p>
      <w:pPr/>
      <w:r>
        <w:t xml:space="preserve">Risks to achieving the requirements, carried from Phase 1 and updated. R-01 and R-02 remain the two that could invalidate the model.</w:t>
      </w:r>
    </w:p>
    <w:tbl>
      <w:tblPr>
        <w:tblStyle w:val="TableGrid"/>
        <w:tblW w:w="0" w:type="auto"/>
        <w:tblLayout w:type="fixed"/>
        <w:tblLook w:val="04A0" w:firstRow="1" w:lastRow="0" w:firstColumn="0" w:lastColumn="0" w:noHBand="0" w:noVBand="1"/>
      </w:tblPr>
      <w:tblGrid>
        <w:gridCol w:w="720"/>
        <w:gridCol w:w="2495"/>
        <w:gridCol w:w="1344"/>
        <w:gridCol w:w="1081"/>
        <w:gridCol w:w="3720"/>
      </w:tblGrid>
      <w:tr>
        <w:trPr>
          <w:tblHeader/>
        </w:trPr>
        <w:tc>
          <w:tcPr>
            <w:tcW w:w="720" w:type="dxa"/>
            <w:shd w:val="clear" w:color="auto" w:fill="F2F2F2"/>
          </w:tcPr>
          <w:p>
            <w:pPr/>
            <w:r>
              <w:t xml:space="preserve">ID</w:t>
            </w:r>
          </w:p>
        </w:tc>
        <w:tc>
          <w:tcPr>
            <w:tcW w:w="2495"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3720" w:type="dxa"/>
            <w:shd w:val="clear" w:color="auto" w:fill="F2F2F2"/>
          </w:tcPr>
          <w:p>
            <w:pPr/>
            <w:r>
              <w:t xml:space="preserve">Mitigation in these requirements</w:t>
            </w:r>
          </w:p>
        </w:tc>
      </w:tr>
      <w:tr>
        <w:tc>
          <w:tcPr>
            <w:tcW w:w="720" w:type="dxa"/>
          </w:tcPr>
          <w:p>
            <w:pPr/>
            <w:r>
              <w:t xml:space="preserve">R-01</w:t>
            </w:r>
          </w:p>
        </w:tc>
        <w:tc>
          <w:tcPr>
            <w:tcW w:w="2495" w:type="dxa"/>
          </w:tcPr>
          <w:p>
            <w:pPr/>
            <w:r>
              <w:t xml:space="preserve">Zone volume stays below ~46 deliveries/day</w:t>
            </w:r>
          </w:p>
        </w:tc>
        <w:tc>
          <w:tcPr>
            <w:tcW w:w="1344" w:type="dxa"/>
          </w:tcPr>
          <w:p>
            <w:pPr/>
            <w:r>
              <w:t xml:space="preserve">Medium</w:t>
            </w:r>
          </w:p>
        </w:tc>
        <w:tc>
          <w:tcPr>
            <w:tcW w:w="1081" w:type="dxa"/>
          </w:tcPr>
          <w:p>
            <w:pPr/>
            <w:r>
              <w:t xml:space="preserve">High</w:t>
            </w:r>
          </w:p>
        </w:tc>
        <w:tc>
          <w:tcPr>
            <w:tcW w:w="3720" w:type="dxa"/>
          </w:tcPr>
          <w:p>
            <w:pPr/>
            <w:r>
              <w:t xml:space="preserve">BR-03 sizes the pool to demand; OBJ-04 requires anchor vendors; monthly review</w:t>
            </w:r>
          </w:p>
        </w:tc>
      </w:tr>
      <w:tr>
        <w:tc>
          <w:tcPr>
            <w:tcW w:w="720" w:type="dxa"/>
          </w:tcPr>
          <w:p>
            <w:pPr/>
            <w:r>
              <w:t xml:space="preserve">R-02</w:t>
            </w:r>
          </w:p>
        </w:tc>
        <w:tc>
          <w:tcPr>
            <w:tcW w:w="2495" w:type="dxa"/>
          </w:tcPr>
          <w:p>
            <w:pPr/>
            <w:r>
              <w:t xml:space="preserve">Vendors resist prepaying a fixed fee</w:t>
            </w:r>
          </w:p>
        </w:tc>
        <w:tc>
          <w:tcPr>
            <w:tcW w:w="1344" w:type="dxa"/>
          </w:tcPr>
          <w:p>
            <w:pPr/>
            <w:r>
              <w:t xml:space="preserve">Medium</w:t>
            </w:r>
          </w:p>
        </w:tc>
        <w:tc>
          <w:tcPr>
            <w:tcW w:w="1081" w:type="dxa"/>
          </w:tcPr>
          <w:p>
            <w:pPr/>
            <w:r>
              <w:t xml:space="preserve">High</w:t>
            </w:r>
          </w:p>
        </w:tc>
        <w:tc>
          <w:tcPr>
            <w:tcW w:w="3720" w:type="dxa"/>
          </w:tcPr>
          <w:p>
            <w:pPr/>
            <w:r>
              <w:t xml:space="preserve">RUL-06 free trial; wallet keeps top-ups infrequent; rate reviewed monthly</w:t>
            </w:r>
          </w:p>
        </w:tc>
      </w:tr>
      <w:tr>
        <w:tc>
          <w:tcPr>
            <w:tcW w:w="720" w:type="dxa"/>
          </w:tcPr>
          <w:p>
            <w:pPr/>
            <w:r>
              <w:t xml:space="preserve">R-03</w:t>
            </w:r>
          </w:p>
        </w:tc>
        <w:tc>
          <w:tcPr>
            <w:tcW w:w="2495" w:type="dxa"/>
          </w:tcPr>
          <w:p>
            <w:pPr/>
            <w:r>
              <w:t xml:space="preserve">A competitor (Karryo, Bolt Send) adds retained or scheduled capacity</w:t>
            </w:r>
          </w:p>
        </w:tc>
        <w:tc>
          <w:tcPr>
            <w:tcW w:w="1344" w:type="dxa"/>
          </w:tcPr>
          <w:p>
            <w:pPr/>
            <w:r>
              <w:t xml:space="preserve">Medium</w:t>
            </w:r>
          </w:p>
        </w:tc>
        <w:tc>
          <w:tcPr>
            <w:tcW w:w="1081" w:type="dxa"/>
          </w:tcPr>
          <w:p>
            <w:pPr/>
            <w:r>
              <w:t xml:space="preserve">High</w:t>
            </w:r>
          </w:p>
        </w:tc>
        <w:tc>
          <w:tcPr>
            <w:tcW w:w="3720" w:type="dxa"/>
          </w:tcPr>
          <w:p>
            <w:pPr/>
            <w:r>
              <w:t xml:space="preserve">Speed to pilot; vendor relationship and records as switching cost</w:t>
            </w:r>
          </w:p>
        </w:tc>
      </w:tr>
      <w:tr>
        <w:tc>
          <w:tcPr>
            <w:tcW w:w="720" w:type="dxa"/>
          </w:tcPr>
          <w:p>
            <w:pPr/>
            <w:r>
              <w:t xml:space="preserve">R-04</w:t>
            </w:r>
          </w:p>
        </w:tc>
        <w:tc>
          <w:tcPr>
            <w:tcW w:w="2495" w:type="dxa"/>
          </w:tcPr>
          <w:p>
            <w:pPr/>
            <w:r>
              <w:t xml:space="preserve">Auto-assignment makes poor choices in edge cases (stale location, unavailable cyclist)</w:t>
            </w:r>
          </w:p>
        </w:tc>
        <w:tc>
          <w:tcPr>
            <w:tcW w:w="1344" w:type="dxa"/>
          </w:tcPr>
          <w:p>
            <w:pPr/>
            <w:r>
              <w:t xml:space="preserve">Medium</w:t>
            </w:r>
          </w:p>
        </w:tc>
        <w:tc>
          <w:tcPr>
            <w:tcW w:w="1081" w:type="dxa"/>
          </w:tcPr>
          <w:p>
            <w:pPr/>
            <w:r>
              <w:t xml:space="preserve">Medium</w:t>
            </w:r>
          </w:p>
        </w:tc>
        <w:tc>
          <w:tcPr>
            <w:tcW w:w="3720" w:type="dxa"/>
          </w:tcPr>
          <w:p>
            <w:pPr/>
            <w:r>
              <w:t xml:space="preserve">RUL-13 acknowledgement timeout; RUL-15 system admin override; RUL-23 alerts</w:t>
            </w:r>
          </w:p>
        </w:tc>
      </w:tr>
      <w:tr>
        <w:tc>
          <w:tcPr>
            <w:tcW w:w="720" w:type="dxa"/>
          </w:tcPr>
          <w:p>
            <w:pPr/>
            <w:r>
              <w:t xml:space="preserve">R-05</w:t>
            </w:r>
          </w:p>
        </w:tc>
        <w:tc>
          <w:tcPr>
            <w:tcW w:w="2495" w:type="dxa"/>
          </w:tcPr>
          <w:p>
            <w:pPr/>
            <w:r>
              <w:t xml:space="preserve">Code handover fails often (phones off, no network)</w:t>
            </w:r>
          </w:p>
        </w:tc>
        <w:tc>
          <w:tcPr>
            <w:tcW w:w="1344" w:type="dxa"/>
          </w:tcPr>
          <w:p>
            <w:pPr/>
            <w:r>
              <w:t xml:space="preserve">High</w:t>
            </w:r>
          </w:p>
        </w:tc>
        <w:tc>
          <w:tcPr>
            <w:tcW w:w="1081" w:type="dxa"/>
          </w:tcPr>
          <w:p>
            <w:pPr/>
            <w:r>
              <w:t xml:space="preserve">Medium</w:t>
            </w:r>
          </w:p>
        </w:tc>
        <w:tc>
          <w:tcPr>
            <w:tcW w:w="3720" w:type="dxa"/>
          </w:tcPr>
          <w:p>
            <w:pPr/>
            <w:r>
              <w:t xml:space="preserve">RUL-18/19 exception path; A-13 to be tested in week one</w:t>
            </w:r>
          </w:p>
        </w:tc>
      </w:tr>
      <w:tr>
        <w:tc>
          <w:tcPr>
            <w:tcW w:w="720" w:type="dxa"/>
          </w:tcPr>
          <w:p>
            <w:pPr/>
            <w:r>
              <w:t xml:space="preserve">R-06</w:t>
            </w:r>
          </w:p>
        </w:tc>
        <w:tc>
          <w:tcPr>
            <w:tcW w:w="2495" w:type="dxa"/>
          </w:tcPr>
          <w:p>
            <w:pPr/>
            <w:r>
              <w:t xml:space="preserve">Cyclist safety at night; bicycle theft</w:t>
            </w:r>
          </w:p>
        </w:tc>
        <w:tc>
          <w:tcPr>
            <w:tcW w:w="1344" w:type="dxa"/>
          </w:tcPr>
          <w:p>
            <w:pPr/>
            <w:r>
              <w:t xml:space="preserve">Medium</w:t>
            </w:r>
          </w:p>
        </w:tc>
        <w:tc>
          <w:tcPr>
            <w:tcW w:w="1081" w:type="dxa"/>
          </w:tcPr>
          <w:p>
            <w:pPr/>
            <w:r>
              <w:t xml:space="preserve">High</w:t>
            </w:r>
          </w:p>
        </w:tc>
        <w:tc>
          <w:tcPr>
            <w:tcW w:w="3720" w:type="dxa"/>
          </w:tcPr>
          <w:p>
            <w:pPr/>
            <w:r>
              <w:t xml:space="preserve">BR-20 equipment; hub storage; insurance line in economics</w:t>
            </w:r>
          </w:p>
        </w:tc>
      </w:tr>
      <w:tr>
        <w:tc>
          <w:tcPr>
            <w:tcW w:w="720" w:type="dxa"/>
          </w:tcPr>
          <w:p>
            <w:pPr/>
            <w:r>
              <w:t xml:space="preserve">R-07</w:t>
            </w:r>
          </w:p>
        </w:tc>
        <w:tc>
          <w:tcPr>
            <w:tcW w:w="2495" w:type="dxa"/>
          </w:tcPr>
          <w:p>
            <w:pPr/>
            <w:r>
              <w:t xml:space="preserve">CLRD licence delayed or costly</w:t>
            </w:r>
          </w:p>
        </w:tc>
        <w:tc>
          <w:tcPr>
            <w:tcW w:w="1344" w:type="dxa"/>
          </w:tcPr>
          <w:p>
            <w:pPr/>
            <w:r>
              <w:t xml:space="preserve">Medium</w:t>
            </w:r>
          </w:p>
        </w:tc>
        <w:tc>
          <w:tcPr>
            <w:tcW w:w="1081" w:type="dxa"/>
          </w:tcPr>
          <w:p>
            <w:pPr/>
            <w:r>
              <w:t xml:space="preserve">High</w:t>
            </w:r>
          </w:p>
        </w:tc>
        <w:tc>
          <w:tcPr>
            <w:tcW w:w="3720" w:type="dxa"/>
          </w:tcPr>
          <w:p>
            <w:pPr/>
            <w:r>
              <w:t xml:space="preserve">BR-21 before first paid delivery; placeholder in budget; apply at project start</w:t>
            </w:r>
          </w:p>
        </w:tc>
      </w:tr>
      <w:tr>
        <w:tc>
          <w:tcPr>
            <w:tcW w:w="720" w:type="dxa"/>
          </w:tcPr>
          <w:p>
            <w:pPr/>
            <w:r>
              <w:t xml:space="preserve">R-08</w:t>
            </w:r>
          </w:p>
        </w:tc>
        <w:tc>
          <w:tcPr>
            <w:tcW w:w="2495" w:type="dxa"/>
          </w:tcPr>
          <w:p>
            <w:pPr/>
            <w:r>
              <w:t xml:space="preserve">Payment confirmation latency delays activation at peak</w:t>
            </w:r>
          </w:p>
        </w:tc>
        <w:tc>
          <w:tcPr>
            <w:tcW w:w="1344" w:type="dxa"/>
          </w:tcPr>
          <w:p>
            <w:pPr/>
            <w:r>
              <w:t xml:space="preserve">Medium</w:t>
            </w:r>
          </w:p>
        </w:tc>
        <w:tc>
          <w:tcPr>
            <w:tcW w:w="1081" w:type="dxa"/>
          </w:tcPr>
          <w:p>
            <w:pPr/>
            <w:r>
              <w:t xml:space="preserve">Medium</w:t>
            </w:r>
          </w:p>
        </w:tc>
        <w:tc>
          <w:tcPr>
            <w:tcW w:w="3720" w:type="dxa"/>
          </w:tcPr>
          <w:p>
            <w:pPr/>
            <w:r>
              <w:t xml:space="preserve">Wallet as default payment (RUL-03) so confirmation is instant</w:t>
            </w:r>
          </w:p>
        </w:tc>
      </w:tr>
      <w:tr>
        <w:tc>
          <w:tcPr>
            <w:tcW w:w="720" w:type="dxa"/>
          </w:tcPr>
          <w:p>
            <w:pPr/>
            <w:r>
              <w:t xml:space="preserve">R-09</w:t>
            </w:r>
          </w:p>
        </w:tc>
        <w:tc>
          <w:tcPr>
            <w:tcW w:w="2495" w:type="dxa"/>
          </w:tcPr>
          <w:p>
            <w:pPr/>
            <w:r>
              <w:t xml:space="preserve">Vendors keep phoning instead of using the app</w:t>
            </w:r>
          </w:p>
        </w:tc>
        <w:tc>
          <w:tcPr>
            <w:tcW w:w="1344" w:type="dxa"/>
          </w:tcPr>
          <w:p>
            <w:pPr/>
            <w:r>
              <w:t xml:space="preserve">Medium</w:t>
            </w:r>
          </w:p>
        </w:tc>
        <w:tc>
          <w:tcPr>
            <w:tcW w:w="1081" w:type="dxa"/>
          </w:tcPr>
          <w:p>
            <w:pPr/>
            <w:r>
              <w:t xml:space="preserve">Medium</w:t>
            </w:r>
          </w:p>
        </w:tc>
        <w:tc>
          <w:tcPr>
            <w:tcW w:w="3720" w:type="dxa"/>
          </w:tcPr>
          <w:p>
            <w:pPr/>
            <w:r>
              <w:t xml:space="preserve">Request flow under 30 seconds (SRS NFR); system admin can raise a request on a vendor's behalf as a fallback</w:t>
            </w:r>
          </w:p>
        </w:tc>
      </w:tr>
      <w:tr>
        <w:tc>
          <w:tcPr>
            <w:tcW w:w="720" w:type="dxa"/>
          </w:tcPr>
          <w:p>
            <w:pPr/>
            <w:r>
              <w:t xml:space="preserve">R-10</w:t>
            </w:r>
          </w:p>
        </w:tc>
        <w:tc>
          <w:tcPr>
            <w:tcW w:w="2495" w:type="dxa"/>
          </w:tcPr>
          <w:p>
            <w:pPr/>
            <w:r>
              <w:t xml:space="preserve">Portfolio risk: simulated findings read as real</w:t>
            </w:r>
          </w:p>
        </w:tc>
        <w:tc>
          <w:tcPr>
            <w:tcW w:w="1344" w:type="dxa"/>
          </w:tcPr>
          <w:p>
            <w:pPr/>
            <w:r>
              <w:t xml:space="preserve">Low</w:t>
            </w:r>
          </w:p>
        </w:tc>
        <w:tc>
          <w:tcPr>
            <w:tcW w:w="1081" w:type="dxa"/>
          </w:tcPr>
          <w:p>
            <w:pPr/>
            <w:r>
              <w:t xml:space="preserve">High</w:t>
            </w:r>
          </w:p>
        </w:tc>
        <w:tc>
          <w:tcPr>
            <w:tcW w:w="3720" w:type="dxa"/>
          </w:tcPr>
          <w:p>
            <w:pPr/>
            <w:r>
              <w:t xml:space="preserve">Evidence labels on every claim; Simulated stated in each document's summary</w:t>
            </w:r>
          </w:p>
        </w:tc>
      </w:tr>
    </w:tbl>
    <w:p>
      <w:pPr>
        <w:pStyle w:val="Heading2"/>
      </w:pPr>
      <w:r>
        <w:t xml:space="preserve">14. Glossary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Term</w:t>
            </w:r>
          </w:p>
        </w:tc>
        <w:tc>
          <w:tcPr>
            <w:tcW w:w="4920" w:type="dxa"/>
            <w:shd w:val="clear" w:color="auto" w:fill="F2F2F2"/>
          </w:tcPr>
          <w:p>
            <w:pPr/>
            <w:r>
              <w:t xml:space="preserve">Meaning in this document</w:t>
            </w:r>
          </w:p>
        </w:tc>
      </w:tr>
      <w:tr>
        <w:tc>
          <w:tcPr>
            <w:tcW w:w="4440" w:type="dxa"/>
          </w:tcPr>
          <w:p>
            <w:pPr/>
            <w:r>
              <w:t xml:space="preserve">Anchor vendor</w:t>
            </w:r>
          </w:p>
        </w:tc>
        <w:tc>
          <w:tcPr>
            <w:tcW w:w="4920" w:type="dxa"/>
          </w:tcPr>
          <w:p>
            <w:pPr/>
            <w:r>
              <w:t xml:space="preserve">A vendor generating 30 or more deliveries a day, whose volume underwrites a zone's cyclist pool</w:t>
            </w:r>
          </w:p>
        </w:tc>
      </w:tr>
      <w:tr>
        <w:tc>
          <w:tcPr>
            <w:tcW w:w="4440" w:type="dxa"/>
          </w:tcPr>
          <w:p>
            <w:pPr/>
            <w:r>
              <w:t xml:space="preserve">Assignment</w:t>
            </w:r>
          </w:p>
        </w:tc>
        <w:tc>
          <w:tcPr>
            <w:tcW w:w="4920" w:type="dxa"/>
          </w:tcPr>
          <w:p>
            <w:pPr/>
            <w:r>
              <w:t xml:space="preserve">The act of attaching an available cyclist to an active request; automatic under RUL-11</w:t>
            </w:r>
          </w:p>
        </w:tc>
      </w:tr>
      <w:tr>
        <w:tc>
          <w:tcPr>
            <w:tcW w:w="4440" w:type="dxa"/>
          </w:tcPr>
          <w:p>
            <w:pPr/>
            <w:r>
              <w:t xml:space="preserve">Buka</w:t>
            </w:r>
          </w:p>
        </w:tc>
        <w:tc>
          <w:tcPr>
            <w:tcW w:w="4920" w:type="dxa"/>
          </w:tcPr>
          <w:p>
            <w:pPr/>
            <w:r>
              <w:t xml:space="preserve">A small informal eatery serving local dishes</w:t>
            </w:r>
          </w:p>
        </w:tc>
      </w:tr>
      <w:tr>
        <w:tc>
          <w:tcPr>
            <w:tcW w:w="4440" w:type="dxa"/>
          </w:tcPr>
          <w:p>
            <w:pPr/>
            <w:r>
              <w:t xml:space="preserve">Cyclist</w:t>
            </w:r>
          </w:p>
        </w:tc>
        <w:tc>
          <w:tcPr>
            <w:tcW w:w="4920" w:type="dxa"/>
          </w:tcPr>
          <w:p>
            <w:pPr/>
            <w:r>
              <w:t xml:space="preserve">An Airand-employed bicycle rider stationed at a zone hub</w:t>
            </w:r>
          </w:p>
        </w:tc>
      </w:tr>
      <w:tr>
        <w:tc>
          <w:tcPr>
            <w:tcW w:w="4440" w:type="dxa"/>
          </w:tcPr>
          <w:p>
            <w:pPr/>
            <w:r>
              <w:t xml:space="preserve">Delivery</w:t>
            </w:r>
          </w:p>
        </w:tc>
        <w:tc>
          <w:tcPr>
            <w:tcW w:w="4920" w:type="dxa"/>
          </w:tcPr>
          <w:p>
            <w:pPr/>
            <w:r>
              <w:t xml:space="preserve">One paid request from pickup at a vendor to handover to a receiver</w:t>
            </w:r>
          </w:p>
        </w:tc>
      </w:tr>
      <w:tr>
        <w:tc>
          <w:tcPr>
            <w:tcW w:w="4440" w:type="dxa"/>
          </w:tcPr>
          <w:p>
            <w:pPr/>
            <w:r>
              <w:t xml:space="preserve">System admin</w:t>
            </w:r>
          </w:p>
        </w:tc>
        <w:tc>
          <w:tcPr>
            <w:tcW w:w="4920" w:type="dxa"/>
          </w:tcPr>
          <w:p>
            <w:pPr/>
            <w:r>
              <w:t xml:space="preserve">The Airand operations officer (Chinedu in the pilot) who monitors a zone, handles exceptions and holds configuration rights; formerly called the dispatcher</w:t>
            </w:r>
          </w:p>
        </w:tc>
      </w:tr>
      <w:tr>
        <w:tc>
          <w:tcPr>
            <w:tcW w:w="4440" w:type="dxa"/>
          </w:tcPr>
          <w:p>
            <w:pPr/>
            <w:r>
              <w:t xml:space="preserve">Hub</w:t>
            </w:r>
          </w:p>
        </w:tc>
        <w:tc>
          <w:tcPr>
            <w:tcW w:w="4920" w:type="dxa"/>
          </w:tcPr>
          <w:p>
            <w:pPr/>
            <w:r>
              <w:t xml:space="preserve">The physical point in a zone where cyclists wait between deliveries</w:t>
            </w:r>
          </w:p>
        </w:tc>
      </w:tr>
      <w:tr>
        <w:tc>
          <w:tcPr>
            <w:tcW w:w="4440" w:type="dxa"/>
          </w:tcPr>
          <w:p>
            <w:pPr/>
            <w:r>
              <w:t xml:space="preserve">Receiver</w:t>
            </w:r>
          </w:p>
        </w:tc>
        <w:tc>
          <w:tcPr>
            <w:tcW w:w="4920" w:type="dxa"/>
          </w:tcPr>
          <w:p>
            <w:pPr/>
            <w:r>
              <w:t xml:space="preserve">The vendor's customer who receives the food</w:t>
            </w:r>
          </w:p>
        </w:tc>
      </w:tr>
      <w:tr>
        <w:tc>
          <w:tcPr>
            <w:tcW w:w="4440" w:type="dxa"/>
          </w:tcPr>
          <w:p>
            <w:pPr/>
            <w:r>
              <w:t xml:space="preserve">Request</w:t>
            </w:r>
          </w:p>
        </w:tc>
        <w:tc>
          <w:tcPr>
            <w:tcW w:w="4920" w:type="dxa"/>
          </w:tcPr>
          <w:p>
            <w:pPr/>
            <w:r>
              <w:t xml:space="preserve">A vendor's instruction to deliver one order; becomes a delivery once paid and assigned</w:t>
            </w:r>
          </w:p>
        </w:tc>
      </w:tr>
      <w:tr>
        <w:tc>
          <w:tcPr>
            <w:tcW w:w="4440" w:type="dxa"/>
          </w:tcPr>
          <w:p>
            <w:pPr/>
            <w:r>
              <w:t xml:space="preserve">Retainer</w:t>
            </w:r>
          </w:p>
        </w:tc>
        <w:tc>
          <w:tcPr>
            <w:tcW w:w="4920" w:type="dxa"/>
          </w:tcPr>
          <w:p>
            <w:pPr/>
            <w:r>
              <w:t xml:space="preserve">Guaranteed pay for a cyclist's shift, independent of deliveries completed</w:t>
            </w:r>
          </w:p>
        </w:tc>
      </w:tr>
      <w:tr>
        <w:tc>
          <w:tcPr>
            <w:tcW w:w="4440" w:type="dxa"/>
          </w:tcPr>
          <w:p>
            <w:pPr/>
            <w:r>
              <w:t xml:space="preserve">Statement</w:t>
            </w:r>
          </w:p>
        </w:tc>
        <w:tc>
          <w:tcPr>
            <w:tcW w:w="4920" w:type="dxa"/>
          </w:tcPr>
          <w:p>
            <w:pPr/>
            <w:r>
              <w:t xml:space="preserve">The weekly record of a vendor's deliveries and fees</w:t>
            </w:r>
          </w:p>
        </w:tc>
      </w:tr>
      <w:tr>
        <w:tc>
          <w:tcPr>
            <w:tcW w:w="4440" w:type="dxa"/>
          </w:tcPr>
          <w:p>
            <w:pPr/>
            <w:r>
              <w:t xml:space="preserve">Tracking link</w:t>
            </w:r>
          </w:p>
        </w:tc>
        <w:tc>
          <w:tcPr>
            <w:tcW w:w="4920" w:type="dxa"/>
          </w:tcPr>
          <w:p>
            <w:pPr/>
            <w:r>
              <w:t xml:space="preserve">A web link in the receiver's message showing delivery status and expected arrival</w:t>
            </w:r>
          </w:p>
        </w:tc>
      </w:tr>
      <w:tr>
        <w:tc>
          <w:tcPr>
            <w:tcW w:w="4440" w:type="dxa"/>
          </w:tcPr>
          <w:p>
            <w:pPr/>
            <w:r>
              <w:t xml:space="preserve">Vendor</w:t>
            </w:r>
          </w:p>
        </w:tc>
        <w:tc>
          <w:tcPr>
            <w:tcW w:w="4920" w:type="dxa"/>
          </w:tcPr>
          <w:p>
            <w:pPr/>
            <w:r>
              <w:t xml:space="preserve">Any food business onboarded to request deliveries from Airand</w:t>
            </w:r>
          </w:p>
        </w:tc>
      </w:tr>
      <w:tr>
        <w:tc>
          <w:tcPr>
            <w:tcW w:w="4440" w:type="dxa"/>
          </w:tcPr>
          <w:p>
            <w:pPr/>
            <w:r>
              <w:t xml:space="preserve">Verification code</w:t>
            </w:r>
          </w:p>
        </w:tc>
        <w:tc>
          <w:tcPr>
            <w:tcW w:w="4920" w:type="dxa"/>
          </w:tcPr>
          <w:p>
            <w:pPr/>
            <w:r>
              <w:t xml:space="preserve">A one-time 4-digit code sent to the receiver and entered by the cyclist to close the delivery</w:t>
            </w:r>
          </w:p>
        </w:tc>
      </w:tr>
      <w:tr>
        <w:tc>
          <w:tcPr>
            <w:tcW w:w="4440" w:type="dxa"/>
          </w:tcPr>
          <w:p>
            <w:pPr/>
            <w:r>
              <w:t xml:space="preserve">Wallet</w:t>
            </w:r>
          </w:p>
        </w:tc>
        <w:tc>
          <w:tcPr>
            <w:tcW w:w="4920" w:type="dxa"/>
          </w:tcPr>
          <w:p>
            <w:pPr/>
            <w:r>
              <w:t xml:space="preserve">A prepaid vendor balance from which delivery fees are deducted</w:t>
            </w:r>
          </w:p>
        </w:tc>
      </w:tr>
      <w:tr>
        <w:tc>
          <w:tcPr>
            <w:tcW w:w="4440" w:type="dxa"/>
          </w:tcPr>
          <w:p>
            <w:pPr/>
            <w:r>
              <w:t xml:space="preserve">Zone</w:t>
            </w:r>
          </w:p>
        </w:tc>
        <w:tc>
          <w:tcPr>
            <w:tcW w:w="4920" w:type="dxa"/>
          </w:tcPr>
          <w:p>
            <w:pPr/>
            <w:r>
              <w:t xml:space="preserve">A bounded area, nominally 2.5 km around a hub, within which Airand accepts deliveries at one fixed rate</w:t>
            </w:r>
          </w:p>
        </w:tc>
      </w:tr>
      <w:tr>
        <w:tc>
          <w:tcPr>
            <w:tcW w:w="4440" w:type="dxa"/>
          </w:tcPr>
          <w:p>
            <w:pPr/>
            <w:r>
              <w:t xml:space="preserve">BR / RUL / OBJ / G / PP / RC / A / R / CON</w:t>
            </w:r>
          </w:p>
        </w:tc>
        <w:tc>
          <w:tcPr>
            <w:tcW w:w="4920" w:type="dxa"/>
          </w:tcPr>
          <w:p>
            <w:pPr/>
            <w:r>
              <w:t xml:space="preserve">Identifier prefixes: business requirement, business rule, objective, gap, pain point, root cause, assumption, risk, constraint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Airand — Business Requirements Document (BRD)</dc:title>
  <dc:description>Claude Docs node/0ec5e2c3-1c58@39 docx-w7</dc:description>
  <cp:revision>39</cp:revision>
</cp:coreProperties>
</file>