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Airand — KPI Definitions</w:t>
      </w:r>
    </w:p>
    <w:p>
      <w:pPr>
        <w:pStyle w:val="Heading2"/>
      </w:pPr>
      <w:r>
        <w:t xml:space="preserve">Summary</w:t>
      </w:r>
    </w:p>
    <w:p>
      <w:pPr/>
      <w:r>
        <w:t xml:space="preserve">Twenty-three KPIs, each defined once, each computed from the tables and events in the Data Model. They answer one question for the founder — </w:t>
      </w:r>
      <w:r>
        <w:rPr>
          <w:b/>
        </w:rPr>
        <w:t xml:space="preserve">is Zone 1 viable, and if not, what has to change?</w:t>
      </w:r>
      <w:r>
        <w:t xml:space="preserve"> — and one for the system admin: </w:t>
      </w:r>
      <w:r>
        <w:rPr>
          <w:b/>
        </w:rPr>
        <w:t xml:space="preserve">is tonight going well?</w:t>
      </w:r>
    </w:p>
    <w:p>
      <w:pPr/>
      <w:r>
        <w:rPr>
          <w:b/>
        </w:rPr>
        <w:t xml:space="preserve">North-star measure: settled deliveries per operating day, against break-even.</w:t>
      </w:r>
      <w:r>
        <w:t xml:space="preserve"> At the pilot's ₦900 rate and 10 cyclists, the unit-economics model puts break-even at about 46 settled deliveries a day (an assumption from the Phase 2 model). Every other KPI either moves that number (service quality keeps vendors using Airand; demand brings requests) or explains the cost side (cyclist utilisation, pay, fixed costs).</w:t>
      </w:r>
    </w:p>
    <w:p>
      <w:pPr/>
      <w:r>
        <w:t xml:space="preserve">The KPIs fall into five groups:</w:t>
      </w:r>
    </w:p>
    <w:p>
      <w:pPr>
        <w:pStyle w:val="ListParagraph"/>
        <w:numPr>
          <w:ilvl w:val="0"/>
          <w:numId w:val="2"/>
        </w:numPr>
      </w:pPr>
      <w:r>
        <w:rPr>
          <w:b/>
        </w:rPr>
        <w:t xml:space="preserve">Service and reliability</w:t>
      </w:r>
      <w:r>
        <w:t xml:space="preserve"> (K01–K11): how fast and how dependably a request becomes a delivery — the BRD's OBJ-01, OBJ-02 and OBJ-05</w:t>
      </w:r>
    </w:p>
    <w:p>
      <w:pPr>
        <w:pStyle w:val="ListParagraph"/>
        <w:numPr>
          <w:ilvl w:val="0"/>
          <w:numId w:val="2"/>
        </w:numPr>
      </w:pPr>
      <w:r>
        <w:rPr>
          <w:b/>
        </w:rPr>
        <w:t xml:space="preserve">Demand</w:t>
      </w:r>
      <w:r>
        <w:t xml:space="preserve"> (K12–K14): how many deliveries, when, and from how many vendors — OBJ-04</w:t>
      </w:r>
    </w:p>
    <w:p>
      <w:pPr>
        <w:pStyle w:val="ListParagraph"/>
        <w:numPr>
          <w:ilvl w:val="0"/>
          <w:numId w:val="2"/>
        </w:numPr>
      </w:pPr>
      <w:r>
        <w:rPr>
          <w:b/>
        </w:rPr>
        <w:t xml:space="preserve">Vendors</w:t>
      </w:r>
      <w:r>
        <w:t xml:space="preserve"> (K15–K16): whether vendors stay</w:t>
      </w:r>
    </w:p>
    <w:p>
      <w:pPr>
        <w:pStyle w:val="ListParagraph"/>
        <w:numPr>
          <w:ilvl w:val="0"/>
          <w:numId w:val="2"/>
        </w:numPr>
      </w:pPr>
      <w:r>
        <w:rPr>
          <w:b/>
        </w:rPr>
        <w:t xml:space="preserve">Economics</w:t>
      </w:r>
      <w:r>
        <w:t xml:space="preserve"> (K17–K20): revenue, cost and margin per delivery and per zone — OBJ-04</w:t>
      </w:r>
    </w:p>
    <w:p>
      <w:pPr>
        <w:pStyle w:val="ListParagraph"/>
        <w:numPr>
          <w:ilvl w:val="0"/>
          <w:numId w:val="2"/>
        </w:numPr>
      </w:pPr>
      <w:r>
        <w:rPr>
          <w:b/>
        </w:rPr>
        <w:t xml:space="preserve">Cyclists</w:t>
      </w:r>
      <w:r>
        <w:t xml:space="preserve"> (K21–K23): utilisation and reliability of the pool — BR-03</w:t>
      </w:r>
    </w:p>
    <w:p>
      <w:pPr/>
      <w:r>
        <w:t xml:space="preserve">Every KPI states its formula, the events or columns it reads, its grain, its target and the requirement it serves, so the SQL in the next step has nothing to interpret.</w:t>
      </w:r>
    </w:p>
    <w:p>
      <w:pPr>
        <w:pStyle w:val="Heading2"/>
      </w:pPr>
      <w:r>
        <w:t xml:space="preserve">KPI driver tree</w:t>
      </w:r>
    </w:p>
    <w:p>
      <w:pPr/>
      <w:r>
        <w:drawing>
          <wp:inline distT="0" distB="0" distL="0" distR="0">
            <wp:extent cx="5486400" cy="4122964"/>
            <wp:docPr id="1" name="image1" descr="KPI driver tree · profit back to the operational levers"/>
            <a:graphic xmlns:a="http://schemas.openxmlformats.org/drawingml/2006/main">
              <a:graphicData uri="http://schemas.openxmlformats.org/drawingml/2006/picture">
                <pic:pic xmlns:pic="http://schemas.openxmlformats.org/drawingml/2006/picture">
                  <pic:nvPicPr>
                    <pic:cNvPr id="1" name="image1" descr="KPI driver tree · profit back to the operational levers"/>
                    <pic:cNvPicPr/>
                  </pic:nvPicPr>
                  <pic:blipFill>
                    <a:blip r:embed="rId3"/>
                    <a:stretch>
                      <a:fillRect/>
                    </a:stretch>
                  </pic:blipFill>
                  <pic:spPr>
                    <a:xfrm>
                      <a:off x="0" y="0"/>
                      <a:ext cx="5486400" cy="4122964"/>
                    </a:xfrm>
                    <a:prstGeom prst="rect">
                      <a:avLst/>
                    </a:prstGeom>
                  </pic:spPr>
                </pic:pic>
              </a:graphicData>
            </a:graphic>
          </wp:inline>
        </w:drawing>
      </w:r>
    </w:p>
    <w:p>
      <w:pPr/>
      <w:r>
        <w:t xml:space="preserve">KPI driver tree · profit back to the operational levers</w:t>
      </w:r>
    </w:p>
    <w:p>
      <w:pPr/>
      <w:r>
        <w:t xml:space="preserve">The rate and the fixed costs barely move week to week, so the founder's real levers are on the right: more active vendors, more deliveries per vendor (which service quality protects), fewer cancellations, and a cyclist pool sized to demand rather than to the original plan's ten.</w:t>
      </w:r>
    </w:p>
    <w:p>
      <w:pPr>
        <w:pStyle w:val="Heading2"/>
      </w:pPr>
      <w:r>
        <w:t xml:space="preserve">Counting rules</w:t>
      </w:r>
    </w:p>
    <w:p>
      <w:pPr/>
      <w:r>
        <w:t xml:space="preserve">These rules apply to every KPI unless its own row says otherwise. Writing them once stops two reports disagreeing about the same night.</w:t>
      </w:r>
    </w:p>
    <w:tbl>
      <w:tblPr>
        <w:tblStyle w:val="TableGrid"/>
        <w:tblW w:w="0" w:type="auto"/>
        <w:tblLayout w:type="fixed"/>
        <w:tblLook w:val="04A0" w:firstRow="1" w:lastRow="0" w:firstColumn="0" w:lastColumn="0" w:noHBand="0" w:noVBand="1"/>
      </w:tblPr>
      <w:tblGrid>
        <w:gridCol w:w="3051"/>
        <w:gridCol w:w="6308"/>
      </w:tblGrid>
      <w:tr>
        <w:trPr>
          <w:tblHeader/>
        </w:trPr>
        <w:tc>
          <w:tcPr>
            <w:tcW w:w="3051" w:type="dxa"/>
            <w:shd w:val="clear" w:color="auto" w:fill="F2F2F2"/>
          </w:tcPr>
          <w:p>
            <w:pPr/>
            <w:r>
              <w:t xml:space="preserve">Rule</w:t>
            </w:r>
          </w:p>
        </w:tc>
        <w:tc>
          <w:tcPr>
            <w:tcW w:w="6308" w:type="dxa"/>
            <w:shd w:val="clear" w:color="auto" w:fill="F2F2F2"/>
          </w:tcPr>
          <w:p>
            <w:pPr/>
            <w:r>
              <w:t xml:space="preserve">Definition</w:t>
            </w:r>
          </w:p>
        </w:tc>
      </w:tr>
      <w:tr>
        <w:tc>
          <w:tcPr>
            <w:tcW w:w="3051" w:type="dxa"/>
          </w:tcPr>
          <w:p>
            <w:pPr/>
            <w:r>
              <w:t xml:space="preserve">Request</w:t>
            </w:r>
          </w:p>
        </w:tc>
        <w:tc>
          <w:tcPr>
            <w:tcW w:w="6308" w:type="dxa"/>
          </w:tcPr>
          <w:p>
            <w:pPr/>
            <w:r>
              <w:t xml:space="preserve">A delivery row created by REQUEST_CREATED, whatever happened next</w:t>
            </w:r>
          </w:p>
        </w:tc>
      </w:tr>
      <w:tr>
        <w:tc>
          <w:tcPr>
            <w:tcW w:w="3051" w:type="dxa"/>
          </w:tcPr>
          <w:p>
            <w:pPr/>
            <w:r>
              <w:t xml:space="preserve">Activated request</w:t>
            </w:r>
          </w:p>
        </w:tc>
        <w:tc>
          <w:tcPr>
            <w:tcW w:w="6308" w:type="dxa"/>
          </w:tcPr>
          <w:p>
            <w:pPr/>
            <w:r>
              <w:t xml:space="preserve">Reached </w:t>
            </w:r>
            <w:r>
              <w:rPr>
                <w:rStyle w:val="CodeChar"/>
              </w:rPr>
              <w:t xml:space="preserve">active</w:t>
            </w:r>
            <w:r>
              <w:t xml:space="preserve"> (fee held). Expired requests never count beyond K14</w:t>
            </w:r>
          </w:p>
        </w:tc>
      </w:tr>
      <w:tr>
        <w:tc>
          <w:tcPr>
            <w:tcW w:w="3051" w:type="dxa"/>
          </w:tcPr>
          <w:p>
            <w:pPr/>
            <w:r>
              <w:t xml:space="preserve">Settled delivery</w:t>
            </w:r>
          </w:p>
        </w:tc>
        <w:tc>
          <w:tcPr>
            <w:tcW w:w="6308" w:type="dxa"/>
          </w:tcPr>
          <w:p>
            <w:pPr/>
            <w:r>
              <w:t xml:space="preserve">Ended </w:t>
            </w:r>
            <w:r>
              <w:rPr>
                <w:i/>
              </w:rPr>
              <w:t xml:space="preserve">Delivered</w:t>
            </w:r>
            <w:r>
              <w:t xml:space="preserve">, or </w:t>
            </w:r>
            <w:r>
              <w:rPr>
                <w:i/>
              </w:rPr>
              <w:t xml:space="preserve">Failed</w:t>
            </w:r>
            <w:r>
              <w:t xml:space="preserve"> after pickup — the cases where the fee is settled to Airand (RUL-02, RUL-05). This is the north-star unit</w:t>
            </w:r>
          </w:p>
        </w:tc>
      </w:tr>
      <w:tr>
        <w:tc>
          <w:tcPr>
            <w:tcW w:w="3051" w:type="dxa"/>
          </w:tcPr>
          <w:p>
            <w:pPr/>
            <w:r>
              <w:t xml:space="preserve">Delivered</w:t>
            </w:r>
          </w:p>
        </w:tc>
        <w:tc>
          <w:tcPr>
            <w:tcW w:w="6308" w:type="dxa"/>
          </w:tcPr>
          <w:p>
            <w:pPr/>
            <w:r>
              <w:t xml:space="preserve">Ended </w:t>
            </w:r>
            <w:r>
              <w:rPr>
                <w:i/>
              </w:rPr>
              <w:t xml:space="preserve">Delivered</w:t>
            </w:r>
            <w:r>
              <w:t xml:space="preserve">, with or without code</w:t>
            </w:r>
          </w:p>
        </w:tc>
      </w:tr>
      <w:tr>
        <w:tc>
          <w:tcPr>
            <w:tcW w:w="3051" w:type="dxa"/>
          </w:tcPr>
          <w:p>
            <w:pPr/>
            <w:r>
              <w:t xml:space="preserve">Time zone</w:t>
            </w:r>
          </w:p>
        </w:tc>
        <w:tc>
          <w:tcPr>
            <w:tcW w:w="6308" w:type="dxa"/>
          </w:tcPr>
          <w:p>
            <w:pPr/>
            <w:r>
              <w:t xml:space="preserve">All times reported in West Africa Time (UTC+1); stored in UTC</w:t>
            </w:r>
          </w:p>
        </w:tc>
      </w:tr>
      <w:tr>
        <w:tc>
          <w:tcPr>
            <w:tcW w:w="3051" w:type="dxa"/>
          </w:tcPr>
          <w:p>
            <w:pPr/>
            <w:r>
              <w:t xml:space="preserve">Operating day</w:t>
            </w:r>
          </w:p>
        </w:tc>
        <w:tc>
          <w:tcPr>
            <w:tcW w:w="6308" w:type="dxa"/>
          </w:tcPr>
          <w:p>
            <w:pPr/>
            <w:r>
              <w:t xml:space="preserve">12:00–23:30 WAT on the calendar date. A request belongs to the day of its </w:t>
            </w:r>
            <w:r>
              <w:rPr>
                <w:rStyle w:val="CodeChar"/>
              </w:rPr>
              <w:t xml:space="preserve">created_at</w:t>
            </w:r>
          </w:p>
        </w:tc>
      </w:tr>
      <w:tr>
        <w:tc>
          <w:tcPr>
            <w:tcW w:w="3051" w:type="dxa"/>
          </w:tcPr>
          <w:p>
            <w:pPr/>
            <w:r>
              <w:t xml:space="preserve">Peak</w:t>
            </w:r>
          </w:p>
        </w:tc>
        <w:tc>
          <w:tcPr>
            <w:tcW w:w="6308" w:type="dxa"/>
          </w:tcPr>
          <w:p>
            <w:pPr/>
            <w:r>
              <w:t xml:space="preserve">18:00–23:30 WAT, matching the roster rule that 60% of cyclist-hours fall after 18:00 (RUL-09)</w:t>
            </w:r>
          </w:p>
        </w:tc>
      </w:tr>
      <w:tr>
        <w:tc>
          <w:tcPr>
            <w:tcW w:w="3051" w:type="dxa"/>
          </w:tcPr>
          <w:p>
            <w:pPr/>
            <w:r>
              <w:t xml:space="preserve">Durations</w:t>
            </w:r>
          </w:p>
        </w:tc>
        <w:tc>
          <w:tcPr>
            <w:tcW w:w="6308" w:type="dxa"/>
          </w:tcPr>
          <w:p>
            <w:pPr/>
            <w:r>
              <w:t xml:space="preserve">Measured between event </w:t>
            </w:r>
            <w:r>
              <w:rPr>
                <w:rStyle w:val="CodeChar"/>
              </w:rPr>
              <w:t xml:space="preserve">server_ts</w:t>
            </w:r>
            <w:r>
              <w:t xml:space="preserve"> values; offline actions keep </w:t>
            </w:r>
            <w:r>
              <w:rPr>
                <w:rStyle w:val="CodeChar"/>
              </w:rPr>
              <w:t xml:space="preserve">device_ts</w:t>
            </w:r>
            <w:r>
              <w:t xml:space="preserve"> for display only</w:t>
            </w:r>
          </w:p>
        </w:tc>
      </w:tr>
      <w:tr>
        <w:tc>
          <w:tcPr>
            <w:tcW w:w="3051" w:type="dxa"/>
          </w:tcPr>
          <w:p>
            <w:pPr/>
            <w:r>
              <w:t xml:space="preserve">Averages</w:t>
            </w:r>
          </w:p>
        </w:tc>
        <w:tc>
          <w:tcPr>
            <w:tcW w:w="6308" w:type="dxa"/>
          </w:tcPr>
          <w:p>
            <w:pPr/>
            <w:r>
              <w:t xml:space="preserve">Medians and 90th percentiles for every duration — a mean hides the bad night</w:t>
            </w:r>
          </w:p>
        </w:tc>
      </w:tr>
      <w:tr>
        <w:tc>
          <w:tcPr>
            <w:tcW w:w="3051" w:type="dxa"/>
          </w:tcPr>
          <w:p>
            <w:pPr/>
            <w:r>
              <w:t xml:space="preserve">Trial deliveries</w:t>
            </w:r>
          </w:p>
        </w:tc>
        <w:tc>
          <w:tcPr>
            <w:tcW w:w="6308" w:type="dxa"/>
          </w:tcPr>
          <w:p>
            <w:pPr/>
            <w:r>
              <w:t xml:space="preserve">Count in all volume and service KPIs; contribute ₦0 to revenue (RUL-06)</w:t>
            </w:r>
          </w:p>
        </w:tc>
      </w:tr>
      <w:tr>
        <w:tc>
          <w:tcPr>
            <w:tcW w:w="3051" w:type="dxa"/>
          </w:tcPr>
          <w:p>
            <w:pPr/>
            <w:r>
              <w:t xml:space="preserve">Raised by the admin</w:t>
            </w:r>
          </w:p>
        </w:tc>
        <w:tc>
          <w:tcPr>
            <w:tcW w:w="6308" w:type="dxa"/>
          </w:tcPr>
          <w:p>
            <w:pPr/>
            <w:r>
              <w:t xml:space="preserve">Phone-in requests (FR-12) count like any other; they can be filtered out</w:t>
            </w:r>
          </w:p>
        </w:tc>
      </w:tr>
      <w:tr>
        <w:tc>
          <w:tcPr>
            <w:tcW w:w="3051" w:type="dxa"/>
          </w:tcPr>
          <w:p>
            <w:pPr/>
            <w:r>
              <w:t xml:space="preserve">Vendor delay</w:t>
            </w:r>
          </w:p>
        </w:tc>
        <w:tc>
          <w:tcPr>
            <w:tcW w:w="6308" w:type="dxa"/>
          </w:tcPr>
          <w:p>
            <w:pPr/>
            <w:r>
              <w:t xml:space="preserve">Time after the 5-minute grace at the vendor is attributed to the vendor, never to the cyclist (FR-23)</w:t>
            </w:r>
          </w:p>
        </w:tc>
      </w:tr>
      <w:tr>
        <w:tc>
          <w:tcPr>
            <w:tcW w:w="3051" w:type="dxa"/>
          </w:tcPr>
          <w:p>
            <w:pPr/>
            <w:r>
              <w:t xml:space="preserve">Zone</w:t>
            </w:r>
          </w:p>
        </w:tc>
        <w:tc>
          <w:tcPr>
            <w:tcW w:w="6308" w:type="dxa"/>
          </w:tcPr>
          <w:p>
            <w:pPr/>
            <w:r>
              <w:t xml:space="preserve">Every KPI is computed per zone, then summed or medianed for "all zones"</w:t>
            </w:r>
          </w:p>
        </w:tc>
      </w:tr>
      <w:tr>
        <w:tc>
          <w:tcPr>
            <w:tcW w:w="3051" w:type="dxa"/>
          </w:tcPr>
          <w:p>
            <w:pPr/>
            <w:r>
              <w:t xml:space="preserve">Data label</w:t>
            </w:r>
          </w:p>
        </w:tc>
        <w:tc>
          <w:tcPr>
            <w:tcW w:w="6308" w:type="dxa"/>
          </w:tcPr>
          <w:p>
            <w:pPr/>
            <w:r>
              <w:t xml:space="preserve">Any figure computed on the portfolio dataset is labelled as simulated</w:t>
            </w:r>
          </w:p>
        </w:tc>
      </w:tr>
    </w:tbl>
    <w:p>
      <w:pPr>
        <w:pStyle w:val="Heading2"/>
      </w:pPr>
      <w:r>
        <w:t xml:space="preserve">Service and reliability (K01–K11)</w:t>
      </w:r>
    </w:p>
    <w:tbl>
      <w:tblPr>
        <w:tblStyle w:val="TableGrid"/>
        <w:tblW w:w="0" w:type="auto"/>
        <w:tblLayout w:type="fixed"/>
        <w:tblLook w:val="04A0" w:firstRow="1" w:lastRow="0" w:firstColumn="0" w:lastColumn="0" w:noHBand="0" w:noVBand="1"/>
      </w:tblPr>
      <w:tblGrid>
        <w:gridCol w:w="720"/>
        <w:gridCol w:w="1337"/>
        <w:gridCol w:w="1360"/>
        <w:gridCol w:w="2107"/>
        <w:gridCol w:w="1225"/>
        <w:gridCol w:w="1337"/>
        <w:gridCol w:w="1273"/>
      </w:tblGrid>
      <w:tr>
        <w:trPr>
          <w:tblHeader/>
        </w:trPr>
        <w:tc>
          <w:tcPr>
            <w:tcW w:w="720" w:type="dxa"/>
            <w:shd w:val="clear" w:color="auto" w:fill="F2F2F2"/>
          </w:tcPr>
          <w:p>
            <w:pPr/>
            <w:r>
              <w:t xml:space="preserve">ID</w:t>
            </w:r>
          </w:p>
        </w:tc>
        <w:tc>
          <w:tcPr>
            <w:tcW w:w="1337" w:type="dxa"/>
            <w:shd w:val="clear" w:color="auto" w:fill="F2F2F2"/>
          </w:tcPr>
          <w:p>
            <w:pPr/>
            <w:r>
              <w:t xml:space="preserve">KPI</w:t>
            </w:r>
          </w:p>
        </w:tc>
        <w:tc>
          <w:tcPr>
            <w:tcW w:w="1360" w:type="dxa"/>
            <w:shd w:val="clear" w:color="auto" w:fill="F2F2F2"/>
          </w:tcPr>
          <w:p>
            <w:pPr/>
            <w:r>
              <w:t xml:space="preserve">Question it answers</w:t>
            </w:r>
          </w:p>
        </w:tc>
        <w:tc>
          <w:tcPr>
            <w:tcW w:w="2107" w:type="dxa"/>
            <w:shd w:val="clear" w:color="auto" w:fill="F2F2F2"/>
          </w:tcPr>
          <w:p>
            <w:pPr/>
            <w:r>
              <w:t xml:space="preserve">Formula</w:t>
            </w:r>
          </w:p>
        </w:tc>
        <w:tc>
          <w:tcPr>
            <w:tcW w:w="1225" w:type="dxa"/>
            <w:shd w:val="clear" w:color="auto" w:fill="F2F2F2"/>
          </w:tcPr>
          <w:p>
            <w:pPr/>
            <w:r>
              <w:t xml:space="preserve">Grain · cuts</w:t>
            </w:r>
          </w:p>
        </w:tc>
        <w:tc>
          <w:tcPr>
            <w:tcW w:w="1337" w:type="dxa"/>
            <w:shd w:val="clear" w:color="auto" w:fill="F2F2F2"/>
          </w:tcPr>
          <w:p>
            <w:pPr/>
            <w:r>
              <w:t xml:space="preserve">Target</w:t>
            </w:r>
          </w:p>
        </w:tc>
        <w:tc>
          <w:tcPr>
            <w:tcW w:w="1273" w:type="dxa"/>
            <w:shd w:val="clear" w:color="auto" w:fill="F2F2F2"/>
          </w:tcPr>
          <w:p>
            <w:pPr/>
            <w:r>
              <w:t xml:space="preserve">Serves</w:t>
            </w:r>
          </w:p>
        </w:tc>
      </w:tr>
      <w:tr>
        <w:tc>
          <w:tcPr>
            <w:tcW w:w="720" w:type="dxa"/>
          </w:tcPr>
          <w:p>
            <w:pPr/>
            <w:r>
              <w:t xml:space="preserve">K01</w:t>
            </w:r>
          </w:p>
        </w:tc>
        <w:tc>
          <w:tcPr>
            <w:tcW w:w="1337" w:type="dxa"/>
          </w:tcPr>
          <w:p>
            <w:pPr/>
            <w:r>
              <w:t xml:space="preserve">Request-to-assignment time</w:t>
            </w:r>
          </w:p>
        </w:tc>
        <w:tc>
          <w:tcPr>
            <w:tcW w:w="1360" w:type="dxa"/>
          </w:tcPr>
          <w:p>
            <w:pPr/>
            <w:r>
              <w:t xml:space="preserve">How fast does a paid request get a cyclist?</w:t>
            </w:r>
          </w:p>
        </w:tc>
        <w:tc>
          <w:tcPr>
            <w:tcW w:w="2107" w:type="dxa"/>
          </w:tcPr>
          <w:p>
            <w:pPr/>
            <w:r>
              <w:t xml:space="preserve">CYCLIST_ACCEPTED.ts − PAYMENT_HELD.ts; median, p90 and % ≤ 2 min</w:t>
            </w:r>
          </w:p>
        </w:tc>
        <w:tc>
          <w:tcPr>
            <w:tcW w:w="1225" w:type="dxa"/>
          </w:tcPr>
          <w:p>
            <w:pPr/>
            <w:r>
              <w:t xml:space="preserve">Delivery · hour, peak/off-peak</w:t>
            </w:r>
          </w:p>
        </w:tc>
        <w:tc>
          <w:tcPr>
            <w:tcW w:w="1337" w:type="dxa"/>
          </w:tcPr>
          <w:p>
            <w:pPr/>
            <w:r>
              <w:t xml:space="preserve">≥ 95% within 2 min at peak</w:t>
            </w:r>
          </w:p>
        </w:tc>
        <w:tc>
          <w:tcPr>
            <w:tcW w:w="1273" w:type="dxa"/>
          </w:tcPr>
          <w:p>
            <w:pPr/>
            <w:r>
              <w:t xml:space="preserve">OBJ-01, BR-09</w:t>
            </w:r>
          </w:p>
        </w:tc>
      </w:tr>
      <w:tr>
        <w:tc>
          <w:tcPr>
            <w:tcW w:w="720" w:type="dxa"/>
          </w:tcPr>
          <w:p>
            <w:pPr/>
            <w:r>
              <w:t xml:space="preserve">K02</w:t>
            </w:r>
          </w:p>
        </w:tc>
        <w:tc>
          <w:tcPr>
            <w:tcW w:w="1337" w:type="dxa"/>
          </w:tcPr>
          <w:p>
            <w:pPr/>
            <w:r>
              <w:t xml:space="preserve">Time to vendor</w:t>
            </w:r>
          </w:p>
        </w:tc>
        <w:tc>
          <w:tcPr>
            <w:tcW w:w="1360" w:type="dxa"/>
          </w:tcPr>
          <w:p>
            <w:pPr/>
            <w:r>
              <w:t xml:space="preserve">How long until the cyclist is at the pickup?</w:t>
            </w:r>
          </w:p>
        </w:tc>
        <w:tc>
          <w:tcPr>
            <w:tcW w:w="2107" w:type="dxa"/>
          </w:tcPr>
          <w:p>
            <w:pPr/>
            <w:r>
              <w:t xml:space="preserve">ARRIVED_AT_VENDOR.ts − CYCLIST_ACCEPTED.ts; median, p90</w:t>
            </w:r>
          </w:p>
        </w:tc>
        <w:tc>
          <w:tcPr>
            <w:tcW w:w="1225" w:type="dxa"/>
          </w:tcPr>
          <w:p>
            <w:pPr/>
            <w:r>
              <w:t xml:space="preserve">Delivery · cyclist, vendor</w:t>
            </w:r>
          </w:p>
        </w:tc>
        <w:tc>
          <w:tcPr>
            <w:tcW w:w="1337" w:type="dxa"/>
          </w:tcPr>
          <w:p>
            <w:pPr/>
            <w:r>
              <w:t xml:space="preserve">90% within 8 min (assumption)</w:t>
            </w:r>
          </w:p>
        </w:tc>
        <w:tc>
          <w:tcPr>
            <w:tcW w:w="1273" w:type="dxa"/>
          </w:tcPr>
          <w:p>
            <w:pPr/>
            <w:r>
              <w:t xml:space="preserve">OBJ-01</w:t>
            </w:r>
          </w:p>
        </w:tc>
      </w:tr>
      <w:tr>
        <w:tc>
          <w:tcPr>
            <w:tcW w:w="720" w:type="dxa"/>
          </w:tcPr>
          <w:p>
            <w:pPr/>
            <w:r>
              <w:t xml:space="preserve">K03</w:t>
            </w:r>
          </w:p>
        </w:tc>
        <w:tc>
          <w:tcPr>
            <w:tcW w:w="1337" w:type="dxa"/>
          </w:tcPr>
          <w:p>
            <w:pPr/>
            <w:r>
              <w:t xml:space="preserve">Vendor handover time</w:t>
            </w:r>
          </w:p>
        </w:tc>
        <w:tc>
          <w:tcPr>
            <w:tcW w:w="1360" w:type="dxa"/>
          </w:tcPr>
          <w:p>
            <w:pPr/>
            <w:r>
              <w:t xml:space="preserve">How long does the vendor keep the cyclist waiting?</w:t>
            </w:r>
          </w:p>
        </w:tc>
        <w:tc>
          <w:tcPr>
            <w:tcW w:w="2107" w:type="dxa"/>
          </w:tcPr>
          <w:p>
            <w:pPr/>
            <w:r>
              <w:t xml:space="preserve">PICKED_UP.ts − ARRIVED_AT_VENDOR.ts; median, p90</w:t>
            </w:r>
          </w:p>
        </w:tc>
        <w:tc>
          <w:tcPr>
            <w:tcW w:w="1225" w:type="dxa"/>
          </w:tcPr>
          <w:p>
            <w:pPr/>
            <w:r>
              <w:t xml:space="preserve">Delivery · vendor</w:t>
            </w:r>
          </w:p>
        </w:tc>
        <w:tc>
          <w:tcPr>
            <w:tcW w:w="1337" w:type="dxa"/>
          </w:tcPr>
          <w:p>
            <w:pPr/>
            <w:r>
              <w:t xml:space="preserve">Median ≤ 3 min</w:t>
            </w:r>
          </w:p>
        </w:tc>
        <w:tc>
          <w:tcPr>
            <w:tcW w:w="1273" w:type="dxa"/>
          </w:tcPr>
          <w:p>
            <w:pPr/>
            <w:r>
              <w:t xml:space="preserve">FR-23</w:t>
            </w:r>
          </w:p>
        </w:tc>
      </w:tr>
      <w:tr>
        <w:tc>
          <w:tcPr>
            <w:tcW w:w="720" w:type="dxa"/>
          </w:tcPr>
          <w:p>
            <w:pPr/>
            <w:r>
              <w:t xml:space="preserve">K04</w:t>
            </w:r>
          </w:p>
        </w:tc>
        <w:tc>
          <w:tcPr>
            <w:tcW w:w="1337" w:type="dxa"/>
          </w:tcPr>
          <w:p>
            <w:pPr/>
            <w:r>
              <w:t xml:space="preserve">Delivery time</w:t>
            </w:r>
          </w:p>
        </w:tc>
        <w:tc>
          <w:tcPr>
            <w:tcW w:w="1360" w:type="dxa"/>
          </w:tcPr>
          <w:p>
            <w:pPr/>
            <w:r>
              <w:t xml:space="preserve">How long from pickup to the door?</w:t>
            </w:r>
          </w:p>
        </w:tc>
        <w:tc>
          <w:tcPr>
            <w:tcW w:w="2107" w:type="dxa"/>
          </w:tcPr>
          <w:p>
            <w:pPr/>
            <w:r>
              <w:t xml:space="preserve">DELIVERED.ts − PICKED_UP.ts; median, p90</w:t>
            </w:r>
          </w:p>
        </w:tc>
        <w:tc>
          <w:tcPr>
            <w:tcW w:w="1225" w:type="dxa"/>
          </w:tcPr>
          <w:p>
            <w:pPr/>
            <w:r>
              <w:t xml:space="preserve">Delivered · hour, cyclist</w:t>
            </w:r>
          </w:p>
        </w:tc>
        <w:tc>
          <w:tcPr>
            <w:tcW w:w="1337" w:type="dxa"/>
          </w:tcPr>
          <w:p>
            <w:pPr/>
            <w:r>
              <w:t xml:space="preserve">Median ≤ 20 min</w:t>
            </w:r>
          </w:p>
        </w:tc>
        <w:tc>
          <w:tcPr>
            <w:tcW w:w="1273" w:type="dxa"/>
          </w:tcPr>
          <w:p>
            <w:pPr/>
            <w:r>
              <w:t xml:space="preserve">OBJ-02</w:t>
            </w:r>
          </w:p>
        </w:tc>
      </w:tr>
      <w:tr>
        <w:tc>
          <w:tcPr>
            <w:tcW w:w="720" w:type="dxa"/>
          </w:tcPr>
          <w:p>
            <w:pPr/>
            <w:r>
              <w:t xml:space="preserve">K05</w:t>
            </w:r>
          </w:p>
        </w:tc>
        <w:tc>
          <w:tcPr>
            <w:tcW w:w="1337" w:type="dxa"/>
          </w:tcPr>
          <w:p>
            <w:pPr/>
            <w:r>
              <w:t xml:space="preserve">End-to-end time</w:t>
            </w:r>
          </w:p>
        </w:tc>
        <w:tc>
          <w:tcPr>
            <w:tcW w:w="1360" w:type="dxa"/>
          </w:tcPr>
          <w:p>
            <w:pPr/>
            <w:r>
              <w:t xml:space="preserve">What does the vendor's customer experience overall?</w:t>
            </w:r>
          </w:p>
        </w:tc>
        <w:tc>
          <w:tcPr>
            <w:tcW w:w="2107" w:type="dxa"/>
          </w:tcPr>
          <w:p>
            <w:pPr/>
            <w:r>
              <w:t xml:space="preserve">DELIVERED.ts − PAYMENT_HELD.ts; median, p90</w:t>
            </w:r>
          </w:p>
        </w:tc>
        <w:tc>
          <w:tcPr>
            <w:tcW w:w="1225" w:type="dxa"/>
          </w:tcPr>
          <w:p>
            <w:pPr/>
            <w:r>
              <w:t xml:space="preserve">Delivered · vendor, hour</w:t>
            </w:r>
          </w:p>
        </w:tc>
        <w:tc>
          <w:tcPr>
            <w:tcW w:w="1337" w:type="dxa"/>
          </w:tcPr>
          <w:p>
            <w:pPr/>
            <w:r>
              <w:t xml:space="preserve">Tracked, no target</w:t>
            </w:r>
          </w:p>
        </w:tc>
        <w:tc>
          <w:tcPr>
            <w:tcW w:w="1273" w:type="dxa"/>
          </w:tcPr>
          <w:p>
            <w:pPr/>
            <w:r>
              <w:t xml:space="preserve">Case study</w:t>
            </w:r>
          </w:p>
        </w:tc>
      </w:tr>
      <w:tr>
        <w:tc>
          <w:tcPr>
            <w:tcW w:w="720" w:type="dxa"/>
          </w:tcPr>
          <w:p>
            <w:pPr/>
            <w:r>
              <w:t xml:space="preserve">K06</w:t>
            </w:r>
          </w:p>
        </w:tc>
        <w:tc>
          <w:tcPr>
            <w:tcW w:w="1337" w:type="dxa"/>
          </w:tcPr>
          <w:p>
            <w:pPr/>
            <w:r>
              <w:t xml:space="preserve">On-time rate</w:t>
            </w:r>
          </w:p>
        </w:tc>
        <w:tc>
          <w:tcPr>
            <w:tcW w:w="1360" w:type="dxa"/>
          </w:tcPr>
          <w:p>
            <w:pPr/>
            <w:r>
              <w:t xml:space="preserve">Do we keep the 30-minute promise?</w:t>
            </w:r>
          </w:p>
        </w:tc>
        <w:tc>
          <w:tcPr>
            <w:tcW w:w="2107" w:type="dxa"/>
          </w:tcPr>
          <w:p>
            <w:pPr/>
            <w:r>
              <w:t xml:space="preserve">Delivered with K04 ≤ 30 min ÷ delivered</w:t>
            </w:r>
          </w:p>
        </w:tc>
        <w:tc>
          <w:tcPr>
            <w:tcW w:w="1225" w:type="dxa"/>
          </w:tcPr>
          <w:p>
            <w:pPr/>
            <w:r>
              <w:t xml:space="preserve">Day · week, peak</w:t>
            </w:r>
          </w:p>
        </w:tc>
        <w:tc>
          <w:tcPr>
            <w:tcW w:w="1337" w:type="dxa"/>
          </w:tcPr>
          <w:p>
            <w:pPr/>
            <w:r>
              <w:t xml:space="preserve">≥ 85%</w:t>
            </w:r>
          </w:p>
        </w:tc>
        <w:tc>
          <w:tcPr>
            <w:tcW w:w="1273" w:type="dxa"/>
          </w:tcPr>
          <w:p>
            <w:pPr/>
            <w:r>
              <w:t xml:space="preserve">OBJ-02</w:t>
            </w:r>
          </w:p>
        </w:tc>
      </w:tr>
      <w:tr>
        <w:tc>
          <w:tcPr>
            <w:tcW w:w="720" w:type="dxa"/>
          </w:tcPr>
          <w:p>
            <w:pPr/>
            <w:r>
              <w:t xml:space="preserve">K07</w:t>
            </w:r>
          </w:p>
        </w:tc>
        <w:tc>
          <w:tcPr>
            <w:tcW w:w="1337" w:type="dxa"/>
          </w:tcPr>
          <w:p>
            <w:pPr/>
            <w:r>
              <w:t xml:space="preserve">Failure rate</w:t>
            </w:r>
          </w:p>
        </w:tc>
        <w:tc>
          <w:tcPr>
            <w:tcW w:w="1360" w:type="dxa"/>
          </w:tcPr>
          <w:p>
            <w:pPr/>
            <w:r>
              <w:t xml:space="preserve">How often does a picked-up package not reach the receiver?</w:t>
            </w:r>
          </w:p>
        </w:tc>
        <w:tc>
          <w:tcPr>
            <w:tcW w:w="2107" w:type="dxa"/>
          </w:tcPr>
          <w:p>
            <w:pPr/>
            <w:r>
              <w:t xml:space="preserve">FAILED ÷ settled deliveries; by </w:t>
            </w:r>
            <w:r>
              <w:rPr>
                <w:rStyle w:val="CodeChar"/>
              </w:rPr>
              <w:t xml:space="preserve">outcome_reason</w:t>
            </w:r>
          </w:p>
        </w:tc>
        <w:tc>
          <w:tcPr>
            <w:tcW w:w="1225" w:type="dxa"/>
          </w:tcPr>
          <w:p>
            <w:pPr/>
            <w:r>
              <w:t xml:space="preserve">Day · reason, vendor</w:t>
            </w:r>
          </w:p>
        </w:tc>
        <w:tc>
          <w:tcPr>
            <w:tcW w:w="1337" w:type="dxa"/>
          </w:tcPr>
          <w:p>
            <w:pPr/>
            <w:r>
              <w:t xml:space="preserve">≤ 3%</w:t>
            </w:r>
          </w:p>
        </w:tc>
        <w:tc>
          <w:tcPr>
            <w:tcW w:w="1273" w:type="dxa"/>
          </w:tcPr>
          <w:p>
            <w:pPr/>
            <w:r>
              <w:t xml:space="preserve">BR-13</w:t>
            </w:r>
          </w:p>
        </w:tc>
      </w:tr>
      <w:tr>
        <w:tc>
          <w:tcPr>
            <w:tcW w:w="720" w:type="dxa"/>
          </w:tcPr>
          <w:p>
            <w:pPr/>
            <w:r>
              <w:t xml:space="preserve">K08</w:t>
            </w:r>
          </w:p>
        </w:tc>
        <w:tc>
          <w:tcPr>
            <w:tcW w:w="1337" w:type="dxa"/>
          </w:tcPr>
          <w:p>
            <w:pPr/>
            <w:r>
              <w:t xml:space="preserve">Cancellation rate</w:t>
            </w:r>
          </w:p>
        </w:tc>
        <w:tc>
          <w:tcPr>
            <w:tcW w:w="1360" w:type="dxa"/>
          </w:tcPr>
          <w:p>
            <w:pPr/>
            <w:r>
              <w:t xml:space="preserve">How often are requests abandoned, and when?</w:t>
            </w:r>
          </w:p>
        </w:tc>
        <w:tc>
          <w:tcPr>
            <w:tcW w:w="2107" w:type="dxa"/>
          </w:tcPr>
          <w:p>
            <w:pPr/>
            <w:r>
              <w:t xml:space="preserve">CANCELLED ÷ activated requests; split before assignment / after assignment / refused at pickup</w:t>
            </w:r>
          </w:p>
        </w:tc>
        <w:tc>
          <w:tcPr>
            <w:tcW w:w="1225" w:type="dxa"/>
          </w:tcPr>
          <w:p>
            <w:pPr/>
            <w:r>
              <w:t xml:space="preserve">Day · stage, reason, vendor</w:t>
            </w:r>
          </w:p>
        </w:tc>
        <w:tc>
          <w:tcPr>
            <w:tcW w:w="1337" w:type="dxa"/>
          </w:tcPr>
          <w:p>
            <w:pPr/>
            <w:r>
              <w:t xml:space="preserve">≤ 5% overall</w:t>
            </w:r>
          </w:p>
        </w:tc>
        <w:tc>
          <w:tcPr>
            <w:tcW w:w="1273" w:type="dxa"/>
          </w:tcPr>
          <w:p>
            <w:pPr/>
            <w:r>
              <w:t xml:space="preserve">RUL-04, RUL-20</w:t>
            </w:r>
          </w:p>
        </w:tc>
      </w:tr>
      <w:tr>
        <w:tc>
          <w:tcPr>
            <w:tcW w:w="720" w:type="dxa"/>
          </w:tcPr>
          <w:p>
            <w:pPr/>
            <w:r>
              <w:t xml:space="preserve">K09</w:t>
            </w:r>
          </w:p>
        </w:tc>
        <w:tc>
          <w:tcPr>
            <w:tcW w:w="1337" w:type="dxa"/>
          </w:tcPr>
          <w:p>
            <w:pPr/>
            <w:r>
              <w:t xml:space="preserve">Queue rate and queue time</w:t>
            </w:r>
          </w:p>
        </w:tc>
        <w:tc>
          <w:tcPr>
            <w:tcW w:w="1360" w:type="dxa"/>
          </w:tcPr>
          <w:p>
            <w:pPr/>
            <w:r>
              <w:t xml:space="preserve">How often is nobody free?</w:t>
            </w:r>
          </w:p>
        </w:tc>
        <w:tc>
          <w:tcPr>
            <w:tcW w:w="2107" w:type="dxa"/>
          </w:tcPr>
          <w:p>
            <w:pPr/>
            <w:r>
              <w:t xml:space="preserve">Activated requests with a QUEUED event ÷ activated; median QUEUED → CYCLIST_ACCEPTED</w:t>
            </w:r>
          </w:p>
        </w:tc>
        <w:tc>
          <w:tcPr>
            <w:tcW w:w="1225" w:type="dxa"/>
          </w:tcPr>
          <w:p>
            <w:pPr/>
            <w:r>
              <w:t xml:space="preserve">Day · hour</w:t>
            </w:r>
          </w:p>
        </w:tc>
        <w:tc>
          <w:tcPr>
            <w:tcW w:w="1337" w:type="dxa"/>
          </w:tcPr>
          <w:p>
            <w:pPr/>
            <w:r>
              <w:t xml:space="preserve">≤ 10% of peak requests</w:t>
            </w:r>
          </w:p>
        </w:tc>
        <w:tc>
          <w:tcPr>
            <w:tcW w:w="1273" w:type="dxa"/>
          </w:tcPr>
          <w:p>
            <w:pPr/>
            <w:r>
              <w:t xml:space="preserve">BR-03, RUL-14</w:t>
            </w:r>
          </w:p>
        </w:tc>
      </w:tr>
      <w:tr>
        <w:tc>
          <w:tcPr>
            <w:tcW w:w="720" w:type="dxa"/>
          </w:tcPr>
          <w:p>
            <w:pPr/>
            <w:r>
              <w:t xml:space="preserve">K10</w:t>
            </w:r>
          </w:p>
        </w:tc>
        <w:tc>
          <w:tcPr>
            <w:tcW w:w="1337" w:type="dxa"/>
          </w:tcPr>
          <w:p>
            <w:pPr/>
            <w:r>
              <w:t xml:space="preserve">Proof rate</w:t>
            </w:r>
          </w:p>
        </w:tc>
        <w:tc>
          <w:tcPr>
            <w:tcW w:w="1360" w:type="dxa"/>
          </w:tcPr>
          <w:p>
            <w:pPr/>
            <w:r>
              <w:t xml:space="preserve">Is every delivery closed with proof?</w:t>
            </w:r>
          </w:p>
        </w:tc>
        <w:tc>
          <w:tcPr>
            <w:tcW w:w="2107" w:type="dxa"/>
          </w:tcPr>
          <w:p>
            <w:pPr/>
            <w:r>
              <w:t xml:space="preserve">(DELIVERED with code + reviewed DELIVERED_WITHOUT_CODE + FAILED with reason) ÷ settled; plus without-code share</w:t>
            </w:r>
          </w:p>
        </w:tc>
        <w:tc>
          <w:tcPr>
            <w:tcW w:w="1225" w:type="dxa"/>
          </w:tcPr>
          <w:p>
            <w:pPr/>
            <w:r>
              <w:t xml:space="preserve">Week</w:t>
            </w:r>
          </w:p>
        </w:tc>
        <w:tc>
          <w:tcPr>
            <w:tcW w:w="1337" w:type="dxa"/>
          </w:tcPr>
          <w:p>
            <w:pPr/>
            <w:r>
              <w:t xml:space="preserve">100% proof; without-code ≤ 3%</w:t>
            </w:r>
          </w:p>
        </w:tc>
        <w:tc>
          <w:tcPr>
            <w:tcW w:w="1273" w:type="dxa"/>
          </w:tcPr>
          <w:p>
            <w:pPr/>
            <w:r>
              <w:t xml:space="preserve">OBJ-05, BR-12</w:t>
            </w:r>
          </w:p>
        </w:tc>
      </w:tr>
      <w:tr>
        <w:tc>
          <w:tcPr>
            <w:tcW w:w="720" w:type="dxa"/>
          </w:tcPr>
          <w:p>
            <w:pPr/>
            <w:r>
              <w:t xml:space="preserve">K11</w:t>
            </w:r>
          </w:p>
        </w:tc>
        <w:tc>
          <w:tcPr>
            <w:tcW w:w="1337" w:type="dxa"/>
          </w:tcPr>
          <w:p>
            <w:pPr/>
            <w:r>
              <w:t xml:space="preserve">Vendor delay rate</w:t>
            </w:r>
          </w:p>
        </w:tc>
        <w:tc>
          <w:tcPr>
            <w:tcW w:w="1360" w:type="dxa"/>
          </w:tcPr>
          <w:p>
            <w:pPr/>
            <w:r>
              <w:t xml:space="preserve">Which vendors slow handover?</w:t>
            </w:r>
          </w:p>
        </w:tc>
        <w:tc>
          <w:tcPr>
            <w:tcW w:w="2107" w:type="dxa"/>
          </w:tcPr>
          <w:p>
            <w:pPr/>
            <w:r>
              <w:t xml:space="preserve">Deliveries with VENDOR_DELAY_FLAGGED ÷ picked-up deliveries</w:t>
            </w:r>
          </w:p>
        </w:tc>
        <w:tc>
          <w:tcPr>
            <w:tcW w:w="1225" w:type="dxa"/>
          </w:tcPr>
          <w:p>
            <w:pPr/>
            <w:r>
              <w:t xml:space="preserve">Week · vendor</w:t>
            </w:r>
          </w:p>
        </w:tc>
        <w:tc>
          <w:tcPr>
            <w:tcW w:w="1337" w:type="dxa"/>
          </w:tcPr>
          <w:p>
            <w:pPr/>
            <w:r>
              <w:t xml:space="preserve">≤ 10% per vendor</w:t>
            </w:r>
          </w:p>
        </w:tc>
        <w:tc>
          <w:tcPr>
            <w:tcW w:w="1273" w:type="dxa"/>
          </w:tcPr>
          <w:p>
            <w:pPr/>
            <w:r>
              <w:t xml:space="preserve">FR-23, statement note</w:t>
            </w:r>
          </w:p>
        </w:tc>
      </w:tr>
    </w:tbl>
    <w:p>
      <w:pPr>
        <w:pStyle w:val="Heading2"/>
      </w:pPr>
      <w:r>
        <w:t xml:space="preserve">Demand and vendors (K12–K16)</w:t>
      </w:r>
    </w:p>
    <w:tbl>
      <w:tblPr>
        <w:tblStyle w:val="TableGrid"/>
        <w:tblW w:w="0" w:type="auto"/>
        <w:tblLayout w:type="fixed"/>
        <w:tblLook w:val="04A0" w:firstRow="1" w:lastRow="0" w:firstColumn="0" w:lastColumn="0" w:noHBand="0" w:noVBand="1"/>
      </w:tblPr>
      <w:tblGrid>
        <w:gridCol w:w="720"/>
        <w:gridCol w:w="1337"/>
        <w:gridCol w:w="1403"/>
        <w:gridCol w:w="2704"/>
        <w:gridCol w:w="910"/>
        <w:gridCol w:w="1337"/>
        <w:gridCol w:w="948"/>
      </w:tblGrid>
      <w:tr>
        <w:trPr>
          <w:tblHeader/>
        </w:trPr>
        <w:tc>
          <w:tcPr>
            <w:tcW w:w="720" w:type="dxa"/>
            <w:shd w:val="clear" w:color="auto" w:fill="F2F2F2"/>
          </w:tcPr>
          <w:p>
            <w:pPr/>
            <w:r>
              <w:t xml:space="preserve">ID</w:t>
            </w:r>
          </w:p>
        </w:tc>
        <w:tc>
          <w:tcPr>
            <w:tcW w:w="1337" w:type="dxa"/>
            <w:shd w:val="clear" w:color="auto" w:fill="F2F2F2"/>
          </w:tcPr>
          <w:p>
            <w:pPr/>
            <w:r>
              <w:t xml:space="preserve">KPI</w:t>
            </w:r>
          </w:p>
        </w:tc>
        <w:tc>
          <w:tcPr>
            <w:tcW w:w="1403" w:type="dxa"/>
            <w:shd w:val="clear" w:color="auto" w:fill="F2F2F2"/>
          </w:tcPr>
          <w:p>
            <w:pPr/>
            <w:r>
              <w:t xml:space="preserve">Question it answers</w:t>
            </w:r>
          </w:p>
        </w:tc>
        <w:tc>
          <w:tcPr>
            <w:tcW w:w="2704" w:type="dxa"/>
            <w:shd w:val="clear" w:color="auto" w:fill="F2F2F2"/>
          </w:tcPr>
          <w:p>
            <w:pPr/>
            <w:r>
              <w:t xml:space="preserve">Formula</w:t>
            </w:r>
          </w:p>
        </w:tc>
        <w:tc>
          <w:tcPr>
            <w:tcW w:w="910" w:type="dxa"/>
            <w:shd w:val="clear" w:color="auto" w:fill="F2F2F2"/>
          </w:tcPr>
          <w:p>
            <w:pPr/>
            <w:r>
              <w:t xml:space="preserve">Grain · cuts</w:t>
            </w:r>
          </w:p>
        </w:tc>
        <w:tc>
          <w:tcPr>
            <w:tcW w:w="1337" w:type="dxa"/>
            <w:shd w:val="clear" w:color="auto" w:fill="F2F2F2"/>
          </w:tcPr>
          <w:p>
            <w:pPr/>
            <w:r>
              <w:t xml:space="preserve">Target</w:t>
            </w:r>
          </w:p>
        </w:tc>
        <w:tc>
          <w:tcPr>
            <w:tcW w:w="948" w:type="dxa"/>
            <w:shd w:val="clear" w:color="auto" w:fill="F2F2F2"/>
          </w:tcPr>
          <w:p>
            <w:pPr/>
            <w:r>
              <w:t xml:space="preserve">Serves</w:t>
            </w:r>
          </w:p>
        </w:tc>
      </w:tr>
      <w:tr>
        <w:tc>
          <w:tcPr>
            <w:tcW w:w="720" w:type="dxa"/>
          </w:tcPr>
          <w:p>
            <w:pPr/>
            <w:r>
              <w:t xml:space="preserve">K12</w:t>
            </w:r>
          </w:p>
        </w:tc>
        <w:tc>
          <w:tcPr>
            <w:tcW w:w="1337" w:type="dxa"/>
          </w:tcPr>
          <w:p>
            <w:pPr/>
            <w:r>
              <w:rPr>
                <w:b/>
              </w:rPr>
              <w:t xml:space="preserve">Settled deliveries per day</w:t>
            </w:r>
            <w:r>
              <w:t xml:space="preserve"> (north star)</w:t>
            </w:r>
          </w:p>
        </w:tc>
        <w:tc>
          <w:tcPr>
            <w:tcW w:w="1403" w:type="dxa"/>
          </w:tcPr>
          <w:p>
            <w:pPr/>
            <w:r>
              <w:t xml:space="preserve">Is the zone busy enough to pay for itself?</w:t>
            </w:r>
          </w:p>
        </w:tc>
        <w:tc>
          <w:tcPr>
            <w:tcW w:w="2704" w:type="dxa"/>
          </w:tcPr>
          <w:p>
            <w:pPr/>
            <w:r>
              <w:t xml:space="preserve">Count of settled deliveries per operating day; 7-day rolling average; gap to break-even</w:t>
            </w:r>
          </w:p>
        </w:tc>
        <w:tc>
          <w:tcPr>
            <w:tcW w:w="910" w:type="dxa"/>
          </w:tcPr>
          <w:p>
            <w:pPr/>
            <w:r>
              <w:t xml:space="preserve">Day · week, vendor</w:t>
            </w:r>
          </w:p>
        </w:tc>
        <w:tc>
          <w:tcPr>
            <w:tcW w:w="1337" w:type="dxa"/>
          </w:tcPr>
          <w:p>
            <w:pPr/>
            <w:r>
              <w:t xml:space="preserve">≥ 50/day average by month 3; break-even ≈ 46</w:t>
            </w:r>
          </w:p>
        </w:tc>
        <w:tc>
          <w:tcPr>
            <w:tcW w:w="948" w:type="dxa"/>
          </w:tcPr>
          <w:p>
            <w:pPr/>
            <w:r>
              <w:t xml:space="preserve">OBJ-04, BR-03</w:t>
            </w:r>
          </w:p>
        </w:tc>
      </w:tr>
      <w:tr>
        <w:tc>
          <w:tcPr>
            <w:tcW w:w="720" w:type="dxa"/>
          </w:tcPr>
          <w:p>
            <w:pPr/>
            <w:r>
              <w:t xml:space="preserve">K13</w:t>
            </w:r>
          </w:p>
        </w:tc>
        <w:tc>
          <w:tcPr>
            <w:tcW w:w="1337" w:type="dxa"/>
          </w:tcPr>
          <w:p>
            <w:pPr/>
            <w:r>
              <w:t xml:space="preserve">Deliveries per active vendor</w:t>
            </w:r>
          </w:p>
        </w:tc>
        <w:tc>
          <w:tcPr>
            <w:tcW w:w="1403" w:type="dxa"/>
          </w:tcPr>
          <w:p>
            <w:pPr/>
            <w:r>
              <w:t xml:space="preserve">Is growth coming from more vendors or busier ones?</w:t>
            </w:r>
          </w:p>
        </w:tc>
        <w:tc>
          <w:tcPr>
            <w:tcW w:w="2704" w:type="dxa"/>
          </w:tcPr>
          <w:p>
            <w:pPr/>
            <w:r>
              <w:t xml:space="preserve">Settled deliveries ÷ active vendors (K15), per day</w:t>
            </w:r>
          </w:p>
        </w:tc>
        <w:tc>
          <w:tcPr>
            <w:tcW w:w="910" w:type="dxa"/>
          </w:tcPr>
          <w:p>
            <w:pPr/>
            <w:r>
              <w:t xml:space="preserve">Day · vendor</w:t>
            </w:r>
          </w:p>
        </w:tc>
        <w:tc>
          <w:tcPr>
            <w:tcW w:w="1337" w:type="dxa"/>
          </w:tcPr>
          <w:p>
            <w:pPr/>
            <w:r>
              <w:t xml:space="preserve">Tracked; anchors ≥ 30/day</w:t>
            </w:r>
          </w:p>
        </w:tc>
        <w:tc>
          <w:tcPr>
            <w:tcW w:w="948" w:type="dxa"/>
          </w:tcPr>
          <w:p>
            <w:pPr/>
            <w:r>
              <w:t xml:space="preserve">OBJ-04</w:t>
            </w:r>
          </w:p>
        </w:tc>
      </w:tr>
      <w:tr>
        <w:tc>
          <w:tcPr>
            <w:tcW w:w="720" w:type="dxa"/>
          </w:tcPr>
          <w:p>
            <w:pPr/>
            <w:r>
              <w:t xml:space="preserve">K14</w:t>
            </w:r>
          </w:p>
        </w:tc>
        <w:tc>
          <w:tcPr>
            <w:tcW w:w="1337" w:type="dxa"/>
          </w:tcPr>
          <w:p>
            <w:pPr/>
            <w:r>
              <w:t xml:space="preserve">Demand curve and expiry</w:t>
            </w:r>
          </w:p>
        </w:tc>
        <w:tc>
          <w:tcPr>
            <w:tcW w:w="1403" w:type="dxa"/>
          </w:tcPr>
          <w:p>
            <w:pPr/>
            <w:r>
              <w:t xml:space="preserve">When do requests arrive, and how many never get paid?</w:t>
            </w:r>
          </w:p>
        </w:tc>
        <w:tc>
          <w:tcPr>
            <w:tcW w:w="2704" w:type="dxa"/>
          </w:tcPr>
          <w:p>
            <w:pPr/>
            <w:r>
              <w:t xml:space="preserve">Requests per 30-min slot; peak share = peak requests ÷ requests; expiry rate = PAYMENT_EXPIRED ÷ requests</w:t>
            </w:r>
          </w:p>
        </w:tc>
        <w:tc>
          <w:tcPr>
            <w:tcW w:w="910" w:type="dxa"/>
          </w:tcPr>
          <w:p>
            <w:pPr/>
            <w:r>
              <w:t xml:space="preserve">Slot · day of week</w:t>
            </w:r>
          </w:p>
        </w:tc>
        <w:tc>
          <w:tcPr>
            <w:tcW w:w="1337" w:type="dxa"/>
          </w:tcPr>
          <w:p>
            <w:pPr/>
            <w:r>
              <w:t xml:space="preserve">Peak share tracked; expiry ≤ 2%</w:t>
            </w:r>
          </w:p>
        </w:tc>
        <w:tc>
          <w:tcPr>
            <w:tcW w:w="948" w:type="dxa"/>
          </w:tcPr>
          <w:p>
            <w:pPr/>
            <w:r>
              <w:t xml:space="preserve">RUL-09, RUL-02</w:t>
            </w:r>
          </w:p>
        </w:tc>
      </w:tr>
      <w:tr>
        <w:tc>
          <w:tcPr>
            <w:tcW w:w="720" w:type="dxa"/>
          </w:tcPr>
          <w:p>
            <w:pPr/>
            <w:r>
              <w:t xml:space="preserve">K15</w:t>
            </w:r>
          </w:p>
        </w:tc>
        <w:tc>
          <w:tcPr>
            <w:tcW w:w="1337" w:type="dxa"/>
          </w:tcPr>
          <w:p>
            <w:pPr/>
            <w:r>
              <w:t xml:space="preserve">Active vendors and anchors</w:t>
            </w:r>
          </w:p>
        </w:tc>
        <w:tc>
          <w:tcPr>
            <w:tcW w:w="1403" w:type="dxa"/>
          </w:tcPr>
          <w:p>
            <w:pPr/>
            <w:r>
              <w:t xml:space="preserve">How many vendors actually use Airand?</w:t>
            </w:r>
          </w:p>
        </w:tc>
        <w:tc>
          <w:tcPr>
            <w:tcW w:w="2704" w:type="dxa"/>
          </w:tcPr>
          <w:p>
            <w:pPr/>
            <w:r>
              <w:t xml:space="preserve">Vendors with ≥ 1 settled delivery in the last 7 days; anchors = 7-day average ≥ 30 settled/day</w:t>
            </w:r>
          </w:p>
        </w:tc>
        <w:tc>
          <w:tcPr>
            <w:tcW w:w="910" w:type="dxa"/>
          </w:tcPr>
          <w:p>
            <w:pPr/>
            <w:r>
              <w:t xml:space="preserve">Week</w:t>
            </w:r>
          </w:p>
        </w:tc>
        <w:tc>
          <w:tcPr>
            <w:tcW w:w="1337" w:type="dxa"/>
          </w:tcPr>
          <w:p>
            <w:pPr/>
            <w:r>
              <w:t xml:space="preserve">≥ 8 active, ≥ 2 anchors by month 3</w:t>
            </w:r>
          </w:p>
        </w:tc>
        <w:tc>
          <w:tcPr>
            <w:tcW w:w="948" w:type="dxa"/>
          </w:tcPr>
          <w:p>
            <w:pPr/>
            <w:r>
              <w:t xml:space="preserve">OBJ-04</w:t>
            </w:r>
          </w:p>
        </w:tc>
      </w:tr>
      <w:tr>
        <w:tc>
          <w:tcPr>
            <w:tcW w:w="720" w:type="dxa"/>
          </w:tcPr>
          <w:p>
            <w:pPr/>
            <w:r>
              <w:t xml:space="preserve">K16</w:t>
            </w:r>
          </w:p>
        </w:tc>
        <w:tc>
          <w:tcPr>
            <w:tcW w:w="1337" w:type="dxa"/>
          </w:tcPr>
          <w:p>
            <w:pPr/>
            <w:r>
              <w:t xml:space="preserve">Vendor retention and trial conversion</w:t>
            </w:r>
          </w:p>
        </w:tc>
        <w:tc>
          <w:tcPr>
            <w:tcW w:w="1403" w:type="dxa"/>
          </w:tcPr>
          <w:p>
            <w:pPr/>
            <w:r>
              <w:t xml:space="preserve">Do vendors stay after the free week?</w:t>
            </w:r>
          </w:p>
        </w:tc>
        <w:tc>
          <w:tcPr>
            <w:tcW w:w="2704" w:type="dxa"/>
          </w:tcPr>
          <w:p>
            <w:pPr/>
            <w:r>
              <w:t xml:space="preserve">Retention = vendors active in week w−1 and week w ÷ active in w−1; conversion = vendors with ≥ 1 paid delivery in the 7 days after trial ÷ vendors whose trial ended</w:t>
            </w:r>
          </w:p>
        </w:tc>
        <w:tc>
          <w:tcPr>
            <w:tcW w:w="910" w:type="dxa"/>
          </w:tcPr>
          <w:p>
            <w:pPr/>
            <w:r>
              <w:t xml:space="preserve">Week · cohort</w:t>
            </w:r>
          </w:p>
        </w:tc>
        <w:tc>
          <w:tcPr>
            <w:tcW w:w="1337" w:type="dxa"/>
          </w:tcPr>
          <w:p>
            <w:pPr/>
            <w:r>
              <w:t xml:space="preserve">Retention ≥ 85%; conversion ≥ 70% (assumption)</w:t>
            </w:r>
          </w:p>
        </w:tc>
        <w:tc>
          <w:tcPr>
            <w:tcW w:w="948" w:type="dxa"/>
          </w:tcPr>
          <w:p>
            <w:pPr/>
            <w:r>
              <w:t xml:space="preserve">BR-19, R-02</w:t>
            </w:r>
          </w:p>
        </w:tc>
      </w:tr>
    </w:tbl>
    <w:p>
      <w:pPr/>
      <w:r>
        <w:t xml:space="preserve">The anchor threshold of 30 settled deliveries a day comes from the BRD glossary. The Phase 3 simulated vendors suggest the busiest small vendors send closer to 15–20 a day, so this threshold is a candidate for revision once real data exists.</w:t>
      </w:r>
    </w:p>
    <w:p>
      <w:pPr>
        <w:pStyle w:val="Heading2"/>
      </w:pPr>
      <w:r>
        <w:t xml:space="preserve">Economics and cyclists (K17–K23)</w:t>
      </w:r>
    </w:p>
    <w:tbl>
      <w:tblPr>
        <w:tblStyle w:val="TableGrid"/>
        <w:tblW w:w="0" w:type="auto"/>
        <w:tblLayout w:type="fixed"/>
        <w:tblLook w:val="04A0" w:firstRow="1" w:lastRow="0" w:firstColumn="0" w:lastColumn="0" w:noHBand="0" w:noVBand="1"/>
      </w:tblPr>
      <w:tblGrid>
        <w:gridCol w:w="720"/>
        <w:gridCol w:w="1337"/>
        <w:gridCol w:w="1146"/>
        <w:gridCol w:w="2843"/>
        <w:gridCol w:w="1028"/>
        <w:gridCol w:w="1337"/>
        <w:gridCol w:w="948"/>
      </w:tblGrid>
      <w:tr>
        <w:trPr>
          <w:tblHeader/>
        </w:trPr>
        <w:tc>
          <w:tcPr>
            <w:tcW w:w="720" w:type="dxa"/>
            <w:shd w:val="clear" w:color="auto" w:fill="F2F2F2"/>
          </w:tcPr>
          <w:p>
            <w:pPr/>
            <w:r>
              <w:t xml:space="preserve">ID</w:t>
            </w:r>
          </w:p>
        </w:tc>
        <w:tc>
          <w:tcPr>
            <w:tcW w:w="1337" w:type="dxa"/>
            <w:shd w:val="clear" w:color="auto" w:fill="F2F2F2"/>
          </w:tcPr>
          <w:p>
            <w:pPr/>
            <w:r>
              <w:t xml:space="preserve">KPI</w:t>
            </w:r>
          </w:p>
        </w:tc>
        <w:tc>
          <w:tcPr>
            <w:tcW w:w="1146" w:type="dxa"/>
            <w:shd w:val="clear" w:color="auto" w:fill="F2F2F2"/>
          </w:tcPr>
          <w:p>
            <w:pPr/>
            <w:r>
              <w:t xml:space="preserve">Question it answers</w:t>
            </w:r>
          </w:p>
        </w:tc>
        <w:tc>
          <w:tcPr>
            <w:tcW w:w="2843" w:type="dxa"/>
            <w:shd w:val="clear" w:color="auto" w:fill="F2F2F2"/>
          </w:tcPr>
          <w:p>
            <w:pPr/>
            <w:r>
              <w:t xml:space="preserve">Formula</w:t>
            </w:r>
          </w:p>
        </w:tc>
        <w:tc>
          <w:tcPr>
            <w:tcW w:w="1028" w:type="dxa"/>
            <w:shd w:val="clear" w:color="auto" w:fill="F2F2F2"/>
          </w:tcPr>
          <w:p>
            <w:pPr/>
            <w:r>
              <w:t xml:space="preserve">Grain · cuts</w:t>
            </w:r>
          </w:p>
        </w:tc>
        <w:tc>
          <w:tcPr>
            <w:tcW w:w="1337" w:type="dxa"/>
            <w:shd w:val="clear" w:color="auto" w:fill="F2F2F2"/>
          </w:tcPr>
          <w:p>
            <w:pPr/>
            <w:r>
              <w:t xml:space="preserve">Target</w:t>
            </w:r>
          </w:p>
        </w:tc>
        <w:tc>
          <w:tcPr>
            <w:tcW w:w="948" w:type="dxa"/>
            <w:shd w:val="clear" w:color="auto" w:fill="F2F2F2"/>
          </w:tcPr>
          <w:p>
            <w:pPr/>
            <w:r>
              <w:t xml:space="preserve">Serves</w:t>
            </w:r>
          </w:p>
        </w:tc>
      </w:tr>
      <w:tr>
        <w:tc>
          <w:tcPr>
            <w:tcW w:w="720" w:type="dxa"/>
          </w:tcPr>
          <w:p>
            <w:pPr/>
            <w:r>
              <w:t xml:space="preserve">K17</w:t>
            </w:r>
          </w:p>
        </w:tc>
        <w:tc>
          <w:tcPr>
            <w:tcW w:w="1337" w:type="dxa"/>
          </w:tcPr>
          <w:p>
            <w:pPr/>
            <w:r>
              <w:t xml:space="preserve">Revenue</w:t>
            </w:r>
          </w:p>
        </w:tc>
        <w:tc>
          <w:tcPr>
            <w:tcW w:w="1146" w:type="dxa"/>
          </w:tcPr>
          <w:p>
            <w:pPr/>
            <w:r>
              <w:t xml:space="preserve">What did Airand actually earn?</w:t>
            </w:r>
          </w:p>
        </w:tc>
        <w:tc>
          <w:tcPr>
            <w:tcW w:w="2843" w:type="dxa"/>
          </w:tcPr>
          <w:p>
            <w:pPr/>
            <w:r>
              <w:t xml:space="preserve">Σ payment.amount_settled_ngn + Σ payment.cancel_fee_ngn, by settlement date; held-but-unsettled fees excluded</w:t>
            </w:r>
          </w:p>
        </w:tc>
        <w:tc>
          <w:tcPr>
            <w:tcW w:w="1028" w:type="dxa"/>
          </w:tcPr>
          <w:p>
            <w:pPr/>
            <w:r>
              <w:t xml:space="preserve">Day · month, vendor</w:t>
            </w:r>
          </w:p>
        </w:tc>
        <w:tc>
          <w:tcPr>
            <w:tcW w:w="1337" w:type="dxa"/>
          </w:tcPr>
          <w:p>
            <w:pPr/>
            <w:r>
              <w:t xml:space="preserve">≥ ₦45,000/day by month 3</w:t>
            </w:r>
          </w:p>
        </w:tc>
        <w:tc>
          <w:tcPr>
            <w:tcW w:w="948" w:type="dxa"/>
          </w:tcPr>
          <w:p>
            <w:pPr/>
            <w:r>
              <w:t xml:space="preserve">OBJ-04</w:t>
            </w:r>
          </w:p>
        </w:tc>
      </w:tr>
      <w:tr>
        <w:tc>
          <w:tcPr>
            <w:tcW w:w="720" w:type="dxa"/>
          </w:tcPr>
          <w:p>
            <w:pPr/>
            <w:r>
              <w:t xml:space="preserve">K18</w:t>
            </w:r>
          </w:p>
        </w:tc>
        <w:tc>
          <w:tcPr>
            <w:tcW w:w="1337" w:type="dxa"/>
          </w:tcPr>
          <w:p>
            <w:pPr/>
            <w:r>
              <w:t xml:space="preserve">All-in cost per settled delivery</w:t>
            </w:r>
          </w:p>
        </w:tc>
        <w:tc>
          <w:tcPr>
            <w:tcW w:w="1146" w:type="dxa"/>
          </w:tcPr>
          <w:p>
            <w:pPr/>
            <w:r>
              <w:t xml:space="preserve">What does one delivery really cost us?</w:t>
            </w:r>
          </w:p>
        </w:tc>
        <w:tc>
          <w:tcPr>
            <w:tcW w:w="2843" w:type="dxa"/>
          </w:tcPr>
          <w:p>
            <w:pPr/>
            <w:r>
              <w:t xml:space="preserve">(K19 cyclist pay + daily fixed costs + messaging) ÷ settled deliveries; daily fixed = (monthly fixed costs ₦301,667 + cyclist kit ₦15,500 × pool size) × 12 ÷ 365, because the zone opens every day (≈ ₦15,000 a day for 10 cyclists, from the Phase 2 model, an assumption)</w:t>
            </w:r>
          </w:p>
        </w:tc>
        <w:tc>
          <w:tcPr>
            <w:tcW w:w="1028" w:type="dxa"/>
          </w:tcPr>
          <w:p>
            <w:pPr/>
            <w:r>
              <w:t xml:space="preserve">Day · month</w:t>
            </w:r>
          </w:p>
        </w:tc>
        <w:tc>
          <w:tcPr>
            <w:tcW w:w="1337" w:type="dxa"/>
          </w:tcPr>
          <w:p>
            <w:pPr/>
            <w:r>
              <w:t xml:space="preserve">Below the ₦900 rate</w:t>
            </w:r>
          </w:p>
        </w:tc>
        <w:tc>
          <w:tcPr>
            <w:tcW w:w="948" w:type="dxa"/>
          </w:tcPr>
          <w:p>
            <w:pPr/>
            <w:r>
              <w:t xml:space="preserve">BR-03</w:t>
            </w:r>
          </w:p>
        </w:tc>
      </w:tr>
      <w:tr>
        <w:tc>
          <w:tcPr>
            <w:tcW w:w="720" w:type="dxa"/>
          </w:tcPr>
          <w:p>
            <w:pPr/>
            <w:r>
              <w:t xml:space="preserve">K19</w:t>
            </w:r>
          </w:p>
        </w:tc>
        <w:tc>
          <w:tcPr>
            <w:tcW w:w="1337" w:type="dxa"/>
          </w:tcPr>
          <w:p>
            <w:pPr/>
            <w:r>
              <w:t xml:space="preserve">Cyclist pay</w:t>
            </w:r>
          </w:p>
        </w:tc>
        <w:tc>
          <w:tcPr>
            <w:tcW w:w="1146" w:type="dxa"/>
          </w:tcPr>
          <w:p>
            <w:pPr/>
            <w:r>
              <w:t xml:space="preserve">What did the pool cost?</w:t>
            </w:r>
          </w:p>
        </w:tc>
        <w:tc>
          <w:tcPr>
            <w:tcW w:w="2843" w:type="dxa"/>
          </w:tcPr>
          <w:p>
            <w:pPr/>
            <w:r>
              <w:t xml:space="preserve">Σ over shifts worked: retainer_ngn + bonus_per_delivery × max(0, settled deliveries by that cyclist that day − bonus_threshold)</w:t>
            </w:r>
          </w:p>
        </w:tc>
        <w:tc>
          <w:tcPr>
            <w:tcW w:w="1028" w:type="dxa"/>
          </w:tcPr>
          <w:p>
            <w:pPr/>
            <w:r>
              <w:t xml:space="preserve">Day · cyclist</w:t>
            </w:r>
          </w:p>
        </w:tc>
        <w:tc>
          <w:tcPr>
            <w:tcW w:w="1337" w:type="dxa"/>
          </w:tcPr>
          <w:p>
            <w:pPr/>
            <w:r>
              <w:t xml:space="preserve">Tracked against model</w:t>
            </w:r>
          </w:p>
        </w:tc>
        <w:tc>
          <w:tcPr>
            <w:tcW w:w="948" w:type="dxa"/>
          </w:tcPr>
          <w:p>
            <w:pPr/>
            <w:r>
              <w:t xml:space="preserve">BR-04, RUL-10</w:t>
            </w:r>
          </w:p>
        </w:tc>
      </w:tr>
      <w:tr>
        <w:tc>
          <w:tcPr>
            <w:tcW w:w="720" w:type="dxa"/>
          </w:tcPr>
          <w:p>
            <w:pPr/>
            <w:r>
              <w:t xml:space="preserve">K20</w:t>
            </w:r>
          </w:p>
        </w:tc>
        <w:tc>
          <w:tcPr>
            <w:tcW w:w="1337" w:type="dxa"/>
          </w:tcPr>
          <w:p>
            <w:pPr/>
            <w:r>
              <w:t xml:space="preserve">Zone operating profit and margin</w:t>
            </w:r>
          </w:p>
        </w:tc>
        <w:tc>
          <w:tcPr>
            <w:tcW w:w="1146" w:type="dxa"/>
          </w:tcPr>
          <w:p>
            <w:pPr/>
            <w:r>
              <w:t xml:space="preserve">Is the zone viable?</w:t>
            </w:r>
          </w:p>
        </w:tc>
        <w:tc>
          <w:tcPr>
            <w:tcW w:w="2843" w:type="dxa"/>
          </w:tcPr>
          <w:p>
            <w:pPr/>
            <w:r>
              <w:t xml:space="preserve">K17 − K19 − daily fixed costs − messaging; margin = profit ÷ K17</w:t>
            </w:r>
          </w:p>
        </w:tc>
        <w:tc>
          <w:tcPr>
            <w:tcW w:w="1028" w:type="dxa"/>
          </w:tcPr>
          <w:p>
            <w:pPr/>
            <w:r>
              <w:t xml:space="preserve">Day · month</w:t>
            </w:r>
          </w:p>
        </w:tc>
        <w:tc>
          <w:tcPr>
            <w:tcW w:w="1337" w:type="dxa"/>
          </w:tcPr>
          <w:p>
            <w:pPr/>
            <w:r>
              <w:t xml:space="preserve">≥ 0 from month 3</w:t>
            </w:r>
          </w:p>
        </w:tc>
        <w:tc>
          <w:tcPr>
            <w:tcW w:w="948" w:type="dxa"/>
          </w:tcPr>
          <w:p>
            <w:pPr/>
            <w:r>
              <w:t xml:space="preserve">OBJ-04</w:t>
            </w:r>
          </w:p>
        </w:tc>
      </w:tr>
      <w:tr>
        <w:tc>
          <w:tcPr>
            <w:tcW w:w="720" w:type="dxa"/>
          </w:tcPr>
          <w:p>
            <w:pPr/>
            <w:r>
              <w:t xml:space="preserve">K21</w:t>
            </w:r>
          </w:p>
        </w:tc>
        <w:tc>
          <w:tcPr>
            <w:tcW w:w="1337" w:type="dxa"/>
          </w:tcPr>
          <w:p>
            <w:pPr/>
            <w:r>
              <w:t xml:space="preserve">Cyclist utilisation</w:t>
            </w:r>
          </w:p>
        </w:tc>
        <w:tc>
          <w:tcPr>
            <w:tcW w:w="1146" w:type="dxa"/>
          </w:tcPr>
          <w:p>
            <w:pPr/>
            <w:r>
              <w:t xml:space="preserve">Is the pool the right size?</w:t>
            </w:r>
          </w:p>
        </w:tc>
        <w:tc>
          <w:tcPr>
            <w:tcW w:w="2843" w:type="dxa"/>
          </w:tcPr>
          <w:p>
            <w:pPr/>
            <w:r>
              <w:t xml:space="preserve">Busy time ÷ shift time; busy = CYCLIST_ACCEPTED.ts → DELIVERED / FAILED / CANCELLED.ts for that cyclist; shift time = actual_end − actual_start</w:t>
            </w:r>
          </w:p>
        </w:tc>
        <w:tc>
          <w:tcPr>
            <w:tcW w:w="1028" w:type="dxa"/>
          </w:tcPr>
          <w:p>
            <w:pPr/>
            <w:r>
              <w:t xml:space="preserve">Shift · cyclist, hour</w:t>
            </w:r>
          </w:p>
        </w:tc>
        <w:tc>
          <w:tcPr>
            <w:tcW w:w="1337" w:type="dxa"/>
          </w:tcPr>
          <w:p>
            <w:pPr/>
            <w:r>
              <w:t xml:space="preserve">25–60% across the day; peak hours ≤ 80%</w:t>
            </w:r>
          </w:p>
        </w:tc>
        <w:tc>
          <w:tcPr>
            <w:tcW w:w="948" w:type="dxa"/>
          </w:tcPr>
          <w:p>
            <w:pPr/>
            <w:r>
              <w:t xml:space="preserve">BR-03</w:t>
            </w:r>
          </w:p>
        </w:tc>
      </w:tr>
      <w:tr>
        <w:tc>
          <w:tcPr>
            <w:tcW w:w="720" w:type="dxa"/>
          </w:tcPr>
          <w:p>
            <w:pPr/>
            <w:r>
              <w:t xml:space="preserve">K22</w:t>
            </w:r>
          </w:p>
        </w:tc>
        <w:tc>
          <w:tcPr>
            <w:tcW w:w="1337" w:type="dxa"/>
          </w:tcPr>
          <w:p>
            <w:pPr/>
            <w:r>
              <w:t xml:space="preserve">Settled deliveries per cyclist per shift</w:t>
            </w:r>
          </w:p>
        </w:tc>
        <w:tc>
          <w:tcPr>
            <w:tcW w:w="1146" w:type="dxa"/>
          </w:tcPr>
          <w:p>
            <w:pPr/>
            <w:r>
              <w:t xml:space="preserve">Is each cyclist covering their cost?</w:t>
            </w:r>
          </w:p>
        </w:tc>
        <w:tc>
          <w:tcPr>
            <w:tcW w:w="2843" w:type="dxa"/>
          </w:tcPr>
          <w:p>
            <w:pPr/>
            <w:r>
              <w:t xml:space="preserve">Settled deliveries attributed to the cyclist ÷ shifts worked</w:t>
            </w:r>
          </w:p>
        </w:tc>
        <w:tc>
          <w:tcPr>
            <w:tcW w:w="1028" w:type="dxa"/>
          </w:tcPr>
          <w:p>
            <w:pPr/>
            <w:r>
              <w:t xml:space="preserve">Shift · cyclist</w:t>
            </w:r>
          </w:p>
        </w:tc>
        <w:tc>
          <w:tcPr>
            <w:tcW w:w="1337" w:type="dxa"/>
          </w:tcPr>
          <w:p>
            <w:pPr/>
            <w:r>
              <w:t xml:space="preserve">≥ 4.6 (break-even per cyclist, an assumption)</w:t>
            </w:r>
          </w:p>
        </w:tc>
        <w:tc>
          <w:tcPr>
            <w:tcW w:w="948" w:type="dxa"/>
          </w:tcPr>
          <w:p>
            <w:pPr/>
            <w:r>
              <w:t xml:space="preserve">BR-03, BR-04</w:t>
            </w:r>
          </w:p>
        </w:tc>
      </w:tr>
      <w:tr>
        <w:tc>
          <w:tcPr>
            <w:tcW w:w="720" w:type="dxa"/>
          </w:tcPr>
          <w:p>
            <w:pPr/>
            <w:r>
              <w:t xml:space="preserve">K23</w:t>
            </w:r>
          </w:p>
        </w:tc>
        <w:tc>
          <w:tcPr>
            <w:tcW w:w="1337" w:type="dxa"/>
          </w:tcPr>
          <w:p>
            <w:pPr/>
            <w:r>
              <w:t xml:space="preserve">Cyclist unresponsive rate</w:t>
            </w:r>
          </w:p>
        </w:tc>
        <w:tc>
          <w:tcPr>
            <w:tcW w:w="1146" w:type="dxa"/>
          </w:tcPr>
          <w:p>
            <w:pPr/>
            <w:r>
              <w:t xml:space="preserve">Which cyclists miss offers?</w:t>
            </w:r>
          </w:p>
        </w:tc>
        <w:tc>
          <w:tcPr>
            <w:tcW w:w="2843" w:type="dxa"/>
          </w:tcPr>
          <w:p>
            <w:pPr/>
            <w:r>
              <w:t xml:space="preserve">ACK_TIMEOUT ÷ CYCLIST_PROMPTED, per cyclist</w:t>
            </w:r>
          </w:p>
        </w:tc>
        <w:tc>
          <w:tcPr>
            <w:tcW w:w="1028" w:type="dxa"/>
          </w:tcPr>
          <w:p>
            <w:pPr/>
            <w:r>
              <w:t xml:space="preserve">Week · cyclist</w:t>
            </w:r>
          </w:p>
        </w:tc>
        <w:tc>
          <w:tcPr>
            <w:tcW w:w="1337" w:type="dxa"/>
          </w:tcPr>
          <w:p>
            <w:pPr/>
            <w:r>
              <w:t xml:space="preserve">≤ 5%</w:t>
            </w:r>
          </w:p>
        </w:tc>
        <w:tc>
          <w:tcPr>
            <w:tcW w:w="948" w:type="dxa"/>
          </w:tcPr>
          <w:p>
            <w:pPr/>
            <w:r>
              <w:t xml:space="preserve">RUL-13</w:t>
            </w:r>
          </w:p>
        </w:tc>
      </w:tr>
    </w:tbl>
    <w:p>
      <w:pPr/>
      <w:r>
        <w:rPr>
          <w:b/>
        </w:rPr>
        <w:t xml:space="preserve">How the economics KPIs relate.</w:t>
      </w:r>
      <w:r>
        <w:t xml:space="preserve"> K18 below ₦900 and K12 above break-even are two views of the same fact. K21 explains why: if utilisation sits under about 21% the pool is larger than demand needs, which is the Phase 2 model's warning about starting with ten cyclists. Break-even is recomputed each day from that day's actual cost base, (cyclist pay + daily fixed) ÷ (rate − messaging). Because the zone runs seven days a week rather than the model's 26 days a month, daily fixed costs are spread thinner and break-even lands nearer 39–45 than 46; the 46 is kept as the planning reference.</w:t>
      </w:r>
    </w:p>
    <w:p>
      <w:pPr>
        <w:pStyle w:val="Heading2"/>
      </w:pPr>
      <w:r>
        <w:t xml:space="preserve">Targets and thresholds</w:t>
      </w:r>
    </w:p>
    <w:p>
      <w:pPr/>
      <w:r>
        <w:t xml:space="preserve">The dashboard colours ten headline KPIs. Green is the pilot target; amber means watch it this week; red means act now. Thresholds are pilot defaults (assumptions) to be reviewed after four weeks of real data, alongside the timers (SRS OI-08).</w:t>
      </w:r>
    </w:p>
    <w:tbl>
      <w:tblPr>
        <w:tblStyle w:val="TableGrid"/>
        <w:tblW w:w="0" w:type="auto"/>
        <w:tblLayout w:type="fixed"/>
        <w:tblLook w:val="04A0" w:firstRow="1" w:lastRow="0" w:firstColumn="0" w:lastColumn="0" w:noHBand="0" w:noVBand="1"/>
      </w:tblPr>
      <w:tblGrid>
        <w:gridCol w:w="2748"/>
        <w:gridCol w:w="1035"/>
        <w:gridCol w:w="1350"/>
        <w:gridCol w:w="1406"/>
        <w:gridCol w:w="2820"/>
      </w:tblGrid>
      <w:tr>
        <w:trPr>
          <w:tblHeader/>
        </w:trPr>
        <w:tc>
          <w:tcPr>
            <w:tcW w:w="2748" w:type="dxa"/>
            <w:shd w:val="clear" w:color="auto" w:fill="F2F2F2"/>
          </w:tcPr>
          <w:p>
            <w:pPr/>
            <w:r>
              <w:t xml:space="preserve">KPI</w:t>
            </w:r>
          </w:p>
        </w:tc>
        <w:tc>
          <w:tcPr>
            <w:tcW w:w="1035" w:type="dxa"/>
            <w:shd w:val="clear" w:color="auto" w:fill="F2F2F2"/>
          </w:tcPr>
          <w:p>
            <w:pPr/>
            <w:r>
              <w:t xml:space="preserve">Green</w:t>
            </w:r>
          </w:p>
        </w:tc>
        <w:tc>
          <w:tcPr>
            <w:tcW w:w="1350" w:type="dxa"/>
            <w:shd w:val="clear" w:color="auto" w:fill="F2F2F2"/>
          </w:tcPr>
          <w:p>
            <w:pPr/>
            <w:r>
              <w:t xml:space="preserve">Amber</w:t>
            </w:r>
          </w:p>
        </w:tc>
        <w:tc>
          <w:tcPr>
            <w:tcW w:w="1406" w:type="dxa"/>
            <w:shd w:val="clear" w:color="auto" w:fill="F2F2F2"/>
          </w:tcPr>
          <w:p>
            <w:pPr/>
            <w:r>
              <w:t xml:space="preserve">Red</w:t>
            </w:r>
          </w:p>
        </w:tc>
        <w:tc>
          <w:tcPr>
            <w:tcW w:w="2820" w:type="dxa"/>
            <w:shd w:val="clear" w:color="auto" w:fill="F2F2F2"/>
          </w:tcPr>
          <w:p>
            <w:pPr/>
            <w:r>
              <w:t xml:space="preserve">Who acts</w:t>
            </w:r>
          </w:p>
        </w:tc>
      </w:tr>
      <w:tr>
        <w:tc>
          <w:tcPr>
            <w:tcW w:w="2748" w:type="dxa"/>
          </w:tcPr>
          <w:p>
            <w:pPr/>
            <w:r>
              <w:t xml:space="preserve">K12 Settled deliveries / day (7-day avg)</w:t>
            </w:r>
          </w:p>
        </w:tc>
        <w:tc>
          <w:tcPr>
            <w:tcW w:w="1035" w:type="dxa"/>
          </w:tcPr>
          <w:p>
            <w:pPr/>
            <w:r>
              <w:t xml:space="preserve">≥ 50</w:t>
            </w:r>
          </w:p>
        </w:tc>
        <w:tc>
          <w:tcPr>
            <w:tcW w:w="1350" w:type="dxa"/>
          </w:tcPr>
          <w:p>
            <w:pPr/>
            <w:r>
              <w:t xml:space="preserve">46–49</w:t>
            </w:r>
          </w:p>
        </w:tc>
        <w:tc>
          <w:tcPr>
            <w:tcW w:w="1406" w:type="dxa"/>
          </w:tcPr>
          <w:p>
            <w:pPr/>
            <w:r>
              <w:t xml:space="preserve">&lt; 46 (below break-even)</w:t>
            </w:r>
          </w:p>
        </w:tc>
        <w:tc>
          <w:tcPr>
            <w:tcW w:w="2820" w:type="dxa"/>
          </w:tcPr>
          <w:p>
            <w:pPr/>
            <w:r>
              <w:t xml:space="preserve">Founder: vendor acquisition</w:t>
            </w:r>
          </w:p>
        </w:tc>
      </w:tr>
      <w:tr>
        <w:tc>
          <w:tcPr>
            <w:tcW w:w="2748" w:type="dxa"/>
          </w:tcPr>
          <w:p>
            <w:pPr/>
            <w:r>
              <w:t xml:space="preserve">K20 Zone operating profit (month to date)</w:t>
            </w:r>
          </w:p>
        </w:tc>
        <w:tc>
          <w:tcPr>
            <w:tcW w:w="1035" w:type="dxa"/>
          </w:tcPr>
          <w:p>
            <w:pPr/>
            <w:r>
              <w:t xml:space="preserve">≥ ₦0</w:t>
            </w:r>
          </w:p>
        </w:tc>
        <w:tc>
          <w:tcPr>
            <w:tcW w:w="1350" w:type="dxa"/>
          </w:tcPr>
          <w:p>
            <w:pPr/>
            <w:r>
              <w:t xml:space="preserve">−₦50,000 to ₦0</w:t>
            </w:r>
          </w:p>
        </w:tc>
        <w:tc>
          <w:tcPr>
            <w:tcW w:w="1406" w:type="dxa"/>
          </w:tcPr>
          <w:p>
            <w:pPr/>
            <w:r>
              <w:t xml:space="preserve">&lt; −₦50,000</w:t>
            </w:r>
          </w:p>
        </w:tc>
        <w:tc>
          <w:tcPr>
            <w:tcW w:w="2820" w:type="dxa"/>
          </w:tcPr>
          <w:p>
            <w:pPr/>
            <w:r>
              <w:t xml:space="preserve">Founder: pool size, rate</w:t>
            </w:r>
          </w:p>
        </w:tc>
      </w:tr>
      <w:tr>
        <w:tc>
          <w:tcPr>
            <w:tcW w:w="2748" w:type="dxa"/>
          </w:tcPr>
          <w:p>
            <w:pPr/>
            <w:r>
              <w:t xml:space="preserve">K01 Assigned within 2 min at peak</w:t>
            </w:r>
          </w:p>
        </w:tc>
        <w:tc>
          <w:tcPr>
            <w:tcW w:w="1035" w:type="dxa"/>
          </w:tcPr>
          <w:p>
            <w:pPr/>
            <w:r>
              <w:t xml:space="preserve">≥ 95%</w:t>
            </w:r>
          </w:p>
        </w:tc>
        <w:tc>
          <w:tcPr>
            <w:tcW w:w="1350" w:type="dxa"/>
          </w:tcPr>
          <w:p>
            <w:pPr/>
            <w:r>
              <w:t xml:space="preserve">85–94%</w:t>
            </w:r>
          </w:p>
        </w:tc>
        <w:tc>
          <w:tcPr>
            <w:tcW w:w="1406" w:type="dxa"/>
          </w:tcPr>
          <w:p>
            <w:pPr/>
            <w:r>
              <w:t xml:space="preserve">&lt; 85%</w:t>
            </w:r>
          </w:p>
        </w:tc>
        <w:tc>
          <w:tcPr>
            <w:tcW w:w="2820" w:type="dxa"/>
          </w:tcPr>
          <w:p>
            <w:pPr/>
            <w:r>
              <w:t xml:space="preserve">System admin: roster</w:t>
            </w:r>
          </w:p>
        </w:tc>
      </w:tr>
      <w:tr>
        <w:tc>
          <w:tcPr>
            <w:tcW w:w="2748" w:type="dxa"/>
          </w:tcPr>
          <w:p>
            <w:pPr/>
            <w:r>
              <w:t xml:space="preserve">K06 On-time rate</w:t>
            </w:r>
          </w:p>
        </w:tc>
        <w:tc>
          <w:tcPr>
            <w:tcW w:w="1035" w:type="dxa"/>
          </w:tcPr>
          <w:p>
            <w:pPr/>
            <w:r>
              <w:t xml:space="preserve">≥ 85%</w:t>
            </w:r>
          </w:p>
        </w:tc>
        <w:tc>
          <w:tcPr>
            <w:tcW w:w="1350" w:type="dxa"/>
          </w:tcPr>
          <w:p>
            <w:pPr/>
            <w:r>
              <w:t xml:space="preserve">75–84%</w:t>
            </w:r>
          </w:p>
        </w:tc>
        <w:tc>
          <w:tcPr>
            <w:tcW w:w="1406" w:type="dxa"/>
          </w:tcPr>
          <w:p>
            <w:pPr/>
            <w:r>
              <w:t xml:space="preserve">&lt; 75%</w:t>
            </w:r>
          </w:p>
        </w:tc>
        <w:tc>
          <w:tcPr>
            <w:tcW w:w="2820" w:type="dxa"/>
          </w:tcPr>
          <w:p>
            <w:pPr/>
            <w:r>
              <w:t xml:space="preserve">System admin: routes, cyclists</w:t>
            </w:r>
          </w:p>
        </w:tc>
      </w:tr>
      <w:tr>
        <w:tc>
          <w:tcPr>
            <w:tcW w:w="2748" w:type="dxa"/>
          </w:tcPr>
          <w:p>
            <w:pPr/>
            <w:r>
              <w:t xml:space="preserve">K07 Failure rate</w:t>
            </w:r>
          </w:p>
        </w:tc>
        <w:tc>
          <w:tcPr>
            <w:tcW w:w="1035" w:type="dxa"/>
          </w:tcPr>
          <w:p>
            <w:pPr/>
            <w:r>
              <w:t xml:space="preserve">≤ 3%</w:t>
            </w:r>
          </w:p>
        </w:tc>
        <w:tc>
          <w:tcPr>
            <w:tcW w:w="1350" w:type="dxa"/>
          </w:tcPr>
          <w:p>
            <w:pPr/>
            <w:r>
              <w:t xml:space="preserve">3–6%</w:t>
            </w:r>
          </w:p>
        </w:tc>
        <w:tc>
          <w:tcPr>
            <w:tcW w:w="1406" w:type="dxa"/>
          </w:tcPr>
          <w:p>
            <w:pPr/>
            <w:r>
              <w:t xml:space="preserve">&gt; 6%</w:t>
            </w:r>
          </w:p>
        </w:tc>
        <w:tc>
          <w:tcPr>
            <w:tcW w:w="2820" w:type="dxa"/>
          </w:tcPr>
          <w:p>
            <w:pPr/>
            <w:r>
              <w:t xml:space="preserve">System admin: address capture</w:t>
            </w:r>
          </w:p>
        </w:tc>
      </w:tr>
      <w:tr>
        <w:tc>
          <w:tcPr>
            <w:tcW w:w="2748" w:type="dxa"/>
          </w:tcPr>
          <w:p>
            <w:pPr/>
            <w:r>
              <w:t xml:space="preserve">K08 Cancellation rate</w:t>
            </w:r>
          </w:p>
        </w:tc>
        <w:tc>
          <w:tcPr>
            <w:tcW w:w="1035" w:type="dxa"/>
          </w:tcPr>
          <w:p>
            <w:pPr/>
            <w:r>
              <w:t xml:space="preserve">≤ 5%</w:t>
            </w:r>
          </w:p>
        </w:tc>
        <w:tc>
          <w:tcPr>
            <w:tcW w:w="1350" w:type="dxa"/>
          </w:tcPr>
          <w:p>
            <w:pPr/>
            <w:r>
              <w:t xml:space="preserve">5–10%</w:t>
            </w:r>
          </w:p>
        </w:tc>
        <w:tc>
          <w:tcPr>
            <w:tcW w:w="1406" w:type="dxa"/>
          </w:tcPr>
          <w:p>
            <w:pPr/>
            <w:r>
              <w:t xml:space="preserve">&gt; 10%</w:t>
            </w:r>
          </w:p>
        </w:tc>
        <w:tc>
          <w:tcPr>
            <w:tcW w:w="2820" w:type="dxa"/>
          </w:tcPr>
          <w:p>
            <w:pPr/>
            <w:r>
              <w:t xml:space="preserve">System admin + founder</w:t>
            </w:r>
          </w:p>
        </w:tc>
      </w:tr>
      <w:tr>
        <w:tc>
          <w:tcPr>
            <w:tcW w:w="2748" w:type="dxa"/>
          </w:tcPr>
          <w:p>
            <w:pPr/>
            <w:r>
              <w:t xml:space="preserve">K09 Peak queue rate</w:t>
            </w:r>
          </w:p>
        </w:tc>
        <w:tc>
          <w:tcPr>
            <w:tcW w:w="1035" w:type="dxa"/>
          </w:tcPr>
          <w:p>
            <w:pPr/>
            <w:r>
              <w:t xml:space="preserve">≤ 10%</w:t>
            </w:r>
          </w:p>
        </w:tc>
        <w:tc>
          <w:tcPr>
            <w:tcW w:w="1350" w:type="dxa"/>
          </w:tcPr>
          <w:p>
            <w:pPr/>
            <w:r>
              <w:t xml:space="preserve">10–20%</w:t>
            </w:r>
          </w:p>
        </w:tc>
        <w:tc>
          <w:tcPr>
            <w:tcW w:w="1406" w:type="dxa"/>
          </w:tcPr>
          <w:p>
            <w:pPr/>
            <w:r>
              <w:t xml:space="preserve">&gt; 20%</w:t>
            </w:r>
          </w:p>
        </w:tc>
        <w:tc>
          <w:tcPr>
            <w:tcW w:w="2820" w:type="dxa"/>
          </w:tcPr>
          <w:p>
            <w:pPr/>
            <w:r>
              <w:t xml:space="preserve">Founder: add a cyclist at peak</w:t>
            </w:r>
          </w:p>
        </w:tc>
      </w:tr>
      <w:tr>
        <w:tc>
          <w:tcPr>
            <w:tcW w:w="2748" w:type="dxa"/>
          </w:tcPr>
          <w:p>
            <w:pPr/>
            <w:r>
              <w:t xml:space="preserve">K10 Without-code share</w:t>
            </w:r>
          </w:p>
        </w:tc>
        <w:tc>
          <w:tcPr>
            <w:tcW w:w="1035" w:type="dxa"/>
          </w:tcPr>
          <w:p>
            <w:pPr/>
            <w:r>
              <w:t xml:space="preserve">≤ 3%</w:t>
            </w:r>
          </w:p>
        </w:tc>
        <w:tc>
          <w:tcPr>
            <w:tcW w:w="1350" w:type="dxa"/>
          </w:tcPr>
          <w:p>
            <w:pPr/>
            <w:r>
              <w:t xml:space="preserve">3–6%</w:t>
            </w:r>
          </w:p>
        </w:tc>
        <w:tc>
          <w:tcPr>
            <w:tcW w:w="1406" w:type="dxa"/>
          </w:tcPr>
          <w:p>
            <w:pPr/>
            <w:r>
              <w:t xml:space="preserve">&gt; 6%</w:t>
            </w:r>
          </w:p>
        </w:tc>
        <w:tc>
          <w:tcPr>
            <w:tcW w:w="2820" w:type="dxa"/>
          </w:tcPr>
          <w:p>
            <w:pPr/>
            <w:r>
              <w:t xml:space="preserve">System admin: receiver messaging</w:t>
            </w:r>
          </w:p>
        </w:tc>
      </w:tr>
      <w:tr>
        <w:tc>
          <w:tcPr>
            <w:tcW w:w="2748" w:type="dxa"/>
          </w:tcPr>
          <w:p>
            <w:pPr/>
            <w:r>
              <w:t xml:space="preserve">K21 Utilisation (whole day)</w:t>
            </w:r>
          </w:p>
        </w:tc>
        <w:tc>
          <w:tcPr>
            <w:tcW w:w="1035" w:type="dxa"/>
          </w:tcPr>
          <w:p>
            <w:pPr/>
            <w:r>
              <w:t xml:space="preserve">25–60%</w:t>
            </w:r>
          </w:p>
        </w:tc>
        <w:tc>
          <w:tcPr>
            <w:tcW w:w="1350" w:type="dxa"/>
          </w:tcPr>
          <w:p>
            <w:pPr/>
            <w:r>
              <w:t xml:space="preserve">21–25% or 60–70%</w:t>
            </w:r>
          </w:p>
        </w:tc>
        <w:tc>
          <w:tcPr>
            <w:tcW w:w="1406" w:type="dxa"/>
          </w:tcPr>
          <w:p>
            <w:pPr/>
            <w:r>
              <w:t xml:space="preserve">&lt; 21% (pool too big) or &gt; 70% (pool too small)</w:t>
            </w:r>
          </w:p>
        </w:tc>
        <w:tc>
          <w:tcPr>
            <w:tcW w:w="2820" w:type="dxa"/>
          </w:tcPr>
          <w:p>
            <w:pPr/>
            <w:r>
              <w:t xml:space="preserve">Founder: pool size</w:t>
            </w:r>
          </w:p>
        </w:tc>
      </w:tr>
      <w:tr>
        <w:tc>
          <w:tcPr>
            <w:tcW w:w="2748" w:type="dxa"/>
          </w:tcPr>
          <w:p>
            <w:pPr/>
            <w:r>
              <w:t xml:space="preserve">K15 Active vendors</w:t>
            </w:r>
          </w:p>
        </w:tc>
        <w:tc>
          <w:tcPr>
            <w:tcW w:w="1035" w:type="dxa"/>
          </w:tcPr>
          <w:p>
            <w:pPr/>
            <w:r>
              <w:t xml:space="preserve">≥ 8</w:t>
            </w:r>
          </w:p>
        </w:tc>
        <w:tc>
          <w:tcPr>
            <w:tcW w:w="1350" w:type="dxa"/>
          </w:tcPr>
          <w:p>
            <w:pPr/>
            <w:r>
              <w:t xml:space="preserve">6–7</w:t>
            </w:r>
          </w:p>
        </w:tc>
        <w:tc>
          <w:tcPr>
            <w:tcW w:w="1406" w:type="dxa"/>
          </w:tcPr>
          <w:p>
            <w:pPr/>
            <w:r>
              <w:t xml:space="preserve">&lt; 6</w:t>
            </w:r>
          </w:p>
        </w:tc>
        <w:tc>
          <w:tcPr>
            <w:tcW w:w="2820" w:type="dxa"/>
          </w:tcPr>
          <w:p>
            <w:pPr/>
            <w:r>
              <w:t xml:space="preserve">Founder: onboarding</w:t>
            </w:r>
          </w:p>
        </w:tc>
      </w:tr>
    </w:tbl>
    <w:p>
      <w:pPr/>
      <w:r>
        <w:rPr>
          <w:b/>
        </w:rPr>
        <w:t xml:space="preserve">Two thresholds pull against each other.</w:t>
      </w:r>
      <w:r>
        <w:t xml:space="preserve"> A small pool lifts utilisation and profit (K21, K20) but raises queues at peak (K09, K01). The dashboard shows them side by side so the founder makes that trade deliberately rather than discovering it from vendor complaints.</w:t>
      </w:r>
    </w:p>
    <w:p>
      <w:pPr>
        <w:pStyle w:val="Heading2"/>
      </w:pPr>
      <w:r>
        <w:t xml:space="preserve">Dashboard questions and next steps</w:t>
      </w:r>
    </w:p>
    <w:p>
      <w:pPr/>
      <w:r>
        <w:t xml:space="preserve">The dashboard is organised around the questions its two users ask, not around the KPI list.</w:t>
      </w:r>
    </w:p>
    <w:tbl>
      <w:tblPr>
        <w:tblStyle w:val="TableGrid"/>
        <w:tblW w:w="0" w:type="auto"/>
        <w:tblLayout w:type="fixed"/>
        <w:tblLook w:val="04A0" w:firstRow="1" w:lastRow="0" w:firstColumn="0" w:lastColumn="0" w:noHBand="0" w:noVBand="1"/>
      </w:tblPr>
      <w:tblGrid>
        <w:gridCol w:w="1753"/>
        <w:gridCol w:w="3548"/>
        <w:gridCol w:w="2715"/>
        <w:gridCol w:w="1344"/>
      </w:tblGrid>
      <w:tr>
        <w:trPr>
          <w:tblHeader/>
        </w:trPr>
        <w:tc>
          <w:tcPr>
            <w:tcW w:w="1753" w:type="dxa"/>
            <w:shd w:val="clear" w:color="auto" w:fill="F2F2F2"/>
          </w:tcPr>
          <w:p>
            <w:pPr/>
            <w:r>
              <w:t xml:space="preserve">User</w:t>
            </w:r>
          </w:p>
        </w:tc>
        <w:tc>
          <w:tcPr>
            <w:tcW w:w="3548" w:type="dxa"/>
            <w:shd w:val="clear" w:color="auto" w:fill="F2F2F2"/>
          </w:tcPr>
          <w:p>
            <w:pPr/>
            <w:r>
              <w:t xml:space="preserve">Question</w:t>
            </w:r>
          </w:p>
        </w:tc>
        <w:tc>
          <w:tcPr>
            <w:tcW w:w="2715" w:type="dxa"/>
            <w:shd w:val="clear" w:color="auto" w:fill="F2F2F2"/>
          </w:tcPr>
          <w:p>
            <w:pPr/>
            <w:r>
              <w:t xml:space="preserve">KPIs on the page</w:t>
            </w:r>
          </w:p>
        </w:tc>
        <w:tc>
          <w:tcPr>
            <w:tcW w:w="1344" w:type="dxa"/>
            <w:shd w:val="clear" w:color="auto" w:fill="F2F2F2"/>
          </w:tcPr>
          <w:p>
            <w:pPr/>
            <w:r>
              <w:t xml:space="preserve">Page</w:t>
            </w:r>
          </w:p>
        </w:tc>
      </w:tr>
      <w:tr>
        <w:tc>
          <w:tcPr>
            <w:tcW w:w="1753" w:type="dxa"/>
          </w:tcPr>
          <w:p>
            <w:pPr/>
            <w:r>
              <w:t xml:space="preserve">Founder</w:t>
            </w:r>
          </w:p>
        </w:tc>
        <w:tc>
          <w:tcPr>
            <w:tcW w:w="3548" w:type="dxa"/>
          </w:tcPr>
          <w:p>
            <w:pPr/>
            <w:r>
              <w:t xml:space="preserve">Is Zone 1 viable yet?</w:t>
            </w:r>
          </w:p>
        </w:tc>
        <w:tc>
          <w:tcPr>
            <w:tcW w:w="2715" w:type="dxa"/>
          </w:tcPr>
          <w:p>
            <w:pPr/>
            <w:r>
              <w:t xml:space="preserve">K12 vs break-even, K20, K17, K18</w:t>
            </w:r>
          </w:p>
        </w:tc>
        <w:tc>
          <w:tcPr>
            <w:tcW w:w="1344" w:type="dxa"/>
          </w:tcPr>
          <w:p>
            <w:pPr/>
            <w:r>
              <w:t xml:space="preserve">Viability</w:t>
            </w:r>
          </w:p>
        </w:tc>
      </w:tr>
      <w:tr>
        <w:tc>
          <w:tcPr>
            <w:tcW w:w="1753" w:type="dxa"/>
          </w:tcPr>
          <w:p>
            <w:pPr/>
            <w:r>
              <w:t xml:space="preserve">Founder</w:t>
            </w:r>
          </w:p>
        </w:tc>
        <w:tc>
          <w:tcPr>
            <w:tcW w:w="3548" w:type="dxa"/>
          </w:tcPr>
          <w:p>
            <w:pPr/>
            <w:r>
              <w:t xml:space="preserve">Is the pool the right size?</w:t>
            </w:r>
          </w:p>
        </w:tc>
        <w:tc>
          <w:tcPr>
            <w:tcW w:w="2715" w:type="dxa"/>
          </w:tcPr>
          <w:p>
            <w:pPr/>
            <w:r>
              <w:t xml:space="preserve">K21, K22, K09, K19</w:t>
            </w:r>
          </w:p>
        </w:tc>
        <w:tc>
          <w:tcPr>
            <w:tcW w:w="1344" w:type="dxa"/>
          </w:tcPr>
          <w:p>
            <w:pPr/>
            <w:r>
              <w:t xml:space="preserve">Viability</w:t>
            </w:r>
          </w:p>
        </w:tc>
      </w:tr>
      <w:tr>
        <w:tc>
          <w:tcPr>
            <w:tcW w:w="1753" w:type="dxa"/>
          </w:tcPr>
          <w:p>
            <w:pPr/>
            <w:r>
              <w:t xml:space="preserve">Founder</w:t>
            </w:r>
          </w:p>
        </w:tc>
        <w:tc>
          <w:tcPr>
            <w:tcW w:w="3548" w:type="dxa"/>
          </w:tcPr>
          <w:p>
            <w:pPr/>
            <w:r>
              <w:t xml:space="preserve">Are vendors staying and growing?</w:t>
            </w:r>
          </w:p>
        </w:tc>
        <w:tc>
          <w:tcPr>
            <w:tcW w:w="2715" w:type="dxa"/>
          </w:tcPr>
          <w:p>
            <w:pPr/>
            <w:r>
              <w:t xml:space="preserve">K15, K16, K13</w:t>
            </w:r>
          </w:p>
        </w:tc>
        <w:tc>
          <w:tcPr>
            <w:tcW w:w="1344" w:type="dxa"/>
          </w:tcPr>
          <w:p>
            <w:pPr/>
            <w:r>
              <w:t xml:space="preserve">Vendors</w:t>
            </w:r>
          </w:p>
        </w:tc>
      </w:tr>
      <w:tr>
        <w:tc>
          <w:tcPr>
            <w:tcW w:w="1753" w:type="dxa"/>
          </w:tcPr>
          <w:p>
            <w:pPr/>
            <w:r>
              <w:t xml:space="preserve">Founder</w:t>
            </w:r>
          </w:p>
        </w:tc>
        <w:tc>
          <w:tcPr>
            <w:tcW w:w="3548" w:type="dxa"/>
          </w:tcPr>
          <w:p>
            <w:pPr/>
            <w:r>
              <w:t xml:space="preserve">Which vendors need a conversation?</w:t>
            </w:r>
          </w:p>
        </w:tc>
        <w:tc>
          <w:tcPr>
            <w:tcW w:w="2715" w:type="dxa"/>
          </w:tcPr>
          <w:p>
            <w:pPr/>
            <w:r>
              <w:t xml:space="preserve">K11, K08 by vendor, K13</w:t>
            </w:r>
          </w:p>
        </w:tc>
        <w:tc>
          <w:tcPr>
            <w:tcW w:w="1344" w:type="dxa"/>
          </w:tcPr>
          <w:p>
            <w:pPr/>
            <w:r>
              <w:t xml:space="preserve">Vendors</w:t>
            </w:r>
          </w:p>
        </w:tc>
      </w:tr>
      <w:tr>
        <w:tc>
          <w:tcPr>
            <w:tcW w:w="1753" w:type="dxa"/>
          </w:tcPr>
          <w:p>
            <w:pPr/>
            <w:r>
              <w:t xml:space="preserve">System admin</w:t>
            </w:r>
          </w:p>
        </w:tc>
        <w:tc>
          <w:tcPr>
            <w:tcW w:w="3548" w:type="dxa"/>
          </w:tcPr>
          <w:p>
            <w:pPr/>
            <w:r>
              <w:t xml:space="preserve">When does demand hit, and are we staffed for it?</w:t>
            </w:r>
          </w:p>
        </w:tc>
        <w:tc>
          <w:tcPr>
            <w:tcW w:w="2715" w:type="dxa"/>
          </w:tcPr>
          <w:p>
            <w:pPr/>
            <w:r>
              <w:t xml:space="preserve">K14, K09, K01 by hour</w:t>
            </w:r>
          </w:p>
        </w:tc>
        <w:tc>
          <w:tcPr>
            <w:tcW w:w="1344" w:type="dxa"/>
          </w:tcPr>
          <w:p>
            <w:pPr/>
            <w:r>
              <w:t xml:space="preserve">Operations</w:t>
            </w:r>
          </w:p>
        </w:tc>
      </w:tr>
      <w:tr>
        <w:tc>
          <w:tcPr>
            <w:tcW w:w="1753" w:type="dxa"/>
          </w:tcPr>
          <w:p>
            <w:pPr/>
            <w:r>
              <w:t xml:space="preserve">System admin</w:t>
            </w:r>
          </w:p>
        </w:tc>
        <w:tc>
          <w:tcPr>
            <w:tcW w:w="3548" w:type="dxa"/>
          </w:tcPr>
          <w:p>
            <w:pPr/>
            <w:r>
              <w:t xml:space="preserve">Are we keeping the 30-minute promise?</w:t>
            </w:r>
          </w:p>
        </w:tc>
        <w:tc>
          <w:tcPr>
            <w:tcW w:w="2715" w:type="dxa"/>
          </w:tcPr>
          <w:p>
            <w:pPr/>
            <w:r>
              <w:t xml:space="preserve">K04, K06, K02, K03</w:t>
            </w:r>
          </w:p>
        </w:tc>
        <w:tc>
          <w:tcPr>
            <w:tcW w:w="1344" w:type="dxa"/>
          </w:tcPr>
          <w:p>
            <w:pPr/>
            <w:r>
              <w:t xml:space="preserve">Operations</w:t>
            </w:r>
          </w:p>
        </w:tc>
      </w:tr>
      <w:tr>
        <w:tc>
          <w:tcPr>
            <w:tcW w:w="1753" w:type="dxa"/>
          </w:tcPr>
          <w:p>
            <w:pPr/>
            <w:r>
              <w:t xml:space="preserve">System admin</w:t>
            </w:r>
          </w:p>
        </w:tc>
        <w:tc>
          <w:tcPr>
            <w:tcW w:w="3548" w:type="dxa"/>
          </w:tcPr>
          <w:p>
            <w:pPr/>
            <w:r>
              <w:t xml:space="preserve">What went wrong this week?</w:t>
            </w:r>
          </w:p>
        </w:tc>
        <w:tc>
          <w:tcPr>
            <w:tcW w:w="2715" w:type="dxa"/>
          </w:tcPr>
          <w:p>
            <w:pPr/>
            <w:r>
              <w:t xml:space="preserve">K07, K08, K10 with reasons</w:t>
            </w:r>
          </w:p>
        </w:tc>
        <w:tc>
          <w:tcPr>
            <w:tcW w:w="1344" w:type="dxa"/>
          </w:tcPr>
          <w:p>
            <w:pPr/>
            <w:r>
              <w:t xml:space="preserve">Operations</w:t>
            </w:r>
          </w:p>
        </w:tc>
      </w:tr>
      <w:tr>
        <w:tc>
          <w:tcPr>
            <w:tcW w:w="1753" w:type="dxa"/>
          </w:tcPr>
          <w:p>
            <w:pPr/>
            <w:r>
              <w:t xml:space="preserve">Both</w:t>
            </w:r>
          </w:p>
        </w:tc>
        <w:tc>
          <w:tcPr>
            <w:tcW w:w="3548" w:type="dxa"/>
          </w:tcPr>
          <w:p>
            <w:pPr/>
            <w:r>
              <w:t xml:space="preserve">Which cyclists need support?</w:t>
            </w:r>
          </w:p>
        </w:tc>
        <w:tc>
          <w:tcPr>
            <w:tcW w:w="2715" w:type="dxa"/>
          </w:tcPr>
          <w:p>
            <w:pPr/>
            <w:r>
              <w:t xml:space="preserve">K22, K23, K21 by cyclist</w:t>
            </w:r>
          </w:p>
        </w:tc>
        <w:tc>
          <w:tcPr>
            <w:tcW w:w="1344" w:type="dxa"/>
          </w:tcPr>
          <w:p>
            <w:pPr/>
            <w:r>
              <w:t xml:space="preserve">Cyclists</w:t>
            </w:r>
          </w:p>
        </w:tc>
      </w:tr>
    </w:tbl>
    <w:p>
      <w:pPr/>
      <w:r>
        <w:rPr>
          <w:b/>
        </w:rPr>
        <w:t xml:space="preserve">Next in the data track</w:t>
      </w:r>
    </w:p>
    <w:p>
      <w:pPr>
        <w:pStyle w:val="ListParagraph"/>
        <w:numPr>
          <w:ilvl w:val="0"/>
          <w:numId w:val="3"/>
        </w:numPr>
      </w:pPr>
      <w:r>
        <w:t xml:space="preserve">☐ Generate the synthetic dataset (90 days, labelled as simulated) to the Data Model's schema</w:t>
      </w:r>
    </w:p>
    <w:p>
      <w:pPr>
        <w:pStyle w:val="ListParagraph"/>
        <w:numPr>
          <w:ilvl w:val="0"/>
          <w:numId w:val="3"/>
        </w:numPr>
      </w:pPr>
      <w:r>
        <w:t xml:space="preserve">☐ Write the SQL for K01–K23 against it, one query per KPI, with the counting rules above</w:t>
      </w:r>
    </w:p>
    <w:p>
      <w:pPr>
        <w:pStyle w:val="ListParagraph"/>
        <w:numPr>
          <w:ilvl w:val="0"/>
          <w:numId w:val="3"/>
        </w:numPr>
      </w:pPr>
      <w:r>
        <w:t xml:space="preserve">☐ Build the four-page dashboard and record what the simulated pilot shows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Airand — KPI Definitions</dc:title>
  <dc:description>Claude Docs node/6057735f-14b4@14 docx-w7</dc:description>
  <cp:revision>14</cp:revision>
</cp:coreProperties>
</file>