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6.png" ContentType="image/png"/>
  <Override PartName="/word/media/image10.png" ContentType="image/png"/>
  <Override PartName="/word/media/image5.png" ContentType="image/png"/>
  <Override PartName="/word/media/image4.png" ContentType="image/png"/>
  <Override PartName="/word/media/image3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4.png" ContentType="image/png"/>
  <Override PartName="/word/media/image2.png" ContentType="image/png"/>
  <Override PartName="/word/media/image25.png" ContentType="image/png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rPr/>
      </w:pPr>
      <w:r>
        <w:rPr>
          <w:rStyle w:val="StrongEmphasis"/>
          <w:color w:val="001B42"/>
        </w:rPr>
        <w:t>USER MANUAL</w:t>
      </w:r>
    </w:p>
    <w:p>
      <w:pPr>
        <w:pStyle w:val="TextBody"/>
        <w:rPr/>
      </w:pPr>
      <w:r>
        <w:rPr>
          <w:rStyle w:val="StrongEmphasis"/>
          <w:color w:val="001B42"/>
        </w:rPr>
        <w:t>Intellima</w:t>
      </w:r>
    </w:p>
    <w:p>
      <w:pPr>
        <w:pStyle w:val="HorizontalLine"/>
        <w:rPr/>
      </w:pPr>
      <w:r>
        <w:rPr/>
      </w:r>
    </w:p>
    <w:p>
      <w:pPr>
        <w:pStyle w:val="Heading2"/>
        <w:spacing w:before="40" w:after="283"/>
        <w:rPr>
          <w:color w:val="111111"/>
        </w:rPr>
      </w:pPr>
      <w:r>
        <w:rPr>
          <w:color w:val="111111"/>
        </w:rPr>
        <w:t>Table of Contents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hyperlink w:anchor="authentication-authorization">
        <w:r>
          <w:rPr>
            <w:rStyle w:val="InternetLink"/>
          </w:rPr>
          <w:t>Authentication &amp; Authorization</w:t>
        </w:r>
      </w:hyperlink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hyperlink w:anchor="users-overview">
        <w:r>
          <w:rPr>
            <w:rStyle w:val="InternetLink"/>
          </w:rPr>
          <w:t>Users Overview</w:t>
        </w:r>
      </w:hyperlink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hyperlink w:anchor="seller-functions">
        <w:r>
          <w:rPr>
            <w:rStyle w:val="InternetLink"/>
          </w:rPr>
          <w:t>Seller Functions</w:t>
        </w:r>
      </w:hyperlink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hyperlink w:anchor="buyer-functions">
        <w:r>
          <w:rPr>
            <w:rStyle w:val="InternetLink"/>
          </w:rPr>
          <w:t>Buyer Functions</w:t>
        </w:r>
      </w:hyperlink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hyperlink w:anchor="bank-functions">
        <w:r>
          <w:rPr>
            <w:rStyle w:val="InternetLink"/>
          </w:rPr>
          <w:t>Bank Functions</w:t>
        </w:r>
      </w:hyperlink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hyperlink w:anchor="breeder-functions">
        <w:r>
          <w:rPr>
            <w:rStyle w:val="InternetLink"/>
          </w:rPr>
          <w:t>Breeder Functions</w:t>
        </w:r>
      </w:hyperlink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hyperlink w:anchor="inventory-manager-functions">
        <w:r>
          <w:rPr>
            <w:rStyle w:val="InternetLink"/>
          </w:rPr>
          <w:t>Inventory Manager Functions</w:t>
        </w:r>
      </w:hyperlink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hyperlink w:anchor="slaughter-house-manager-functions">
        <w:r>
          <w:rPr>
            <w:rStyle w:val="InternetLink"/>
          </w:rPr>
          <w:t>Slaughter House Manager Functions</w:t>
        </w:r>
      </w:hyperlink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hyperlink w:anchor="chilled-warehouse-functions">
        <w:r>
          <w:rPr>
            <w:rStyle w:val="InternetLink"/>
          </w:rPr>
          <w:t>Chilled Warehouse Functions</w:t>
        </w:r>
      </w:hyperlink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hyperlink w:anchor="collateral-manager-functions">
        <w:r>
          <w:rPr>
            <w:rStyle w:val="InternetLink"/>
          </w:rPr>
          <w:t>Collateral Manager Functions</w:t>
        </w:r>
      </w:hyperlink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/>
      </w:pPr>
      <w:hyperlink w:anchor="export-manager-functions">
        <w:r>
          <w:rPr>
            <w:rStyle w:val="InternetLink"/>
          </w:rPr>
          <w:t>Export Manager Functions</w:t>
        </w:r>
      </w:hyperlink>
    </w:p>
    <w:p>
      <w:pPr>
        <w:pStyle w:val="HorizontalLine"/>
        <w:rPr/>
      </w:pPr>
      <w:r>
        <w:rPr/>
      </w:r>
    </w:p>
    <w:p>
      <w:pPr>
        <w:pStyle w:val="Heading2"/>
        <w:spacing w:before="40" w:after="283"/>
        <w:rPr/>
      </w:pPr>
      <w:r>
        <w:rPr/>
        <w:t xml:space="preserve">Authentication &amp; Authorization </w:t>
      </w:r>
    </w:p>
    <w:p>
      <w:pPr>
        <w:pStyle w:val="Heading3"/>
        <w:ind w:left="0" w:right="133" w:hanging="0"/>
        <w:rPr/>
      </w:pPr>
      <w:r>
        <w:rPr/>
        <w:t>Users: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Sellers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Buyers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Breeders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Bank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Slaughter House Manager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Collateral Manager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Inventory Manager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Export Manager</w:t>
      </w:r>
    </w:p>
    <w:p>
      <w:pPr>
        <w:pStyle w:val="HorizontalLine"/>
        <w:rPr/>
      </w:pPr>
      <w:r>
        <w:rPr/>
      </w:r>
    </w:p>
    <w:p>
      <w:pPr>
        <w:pStyle w:val="Heading2"/>
        <w:spacing w:before="40" w:after="283"/>
        <w:rPr/>
      </w:pPr>
      <w:r>
        <w:rPr/>
        <w:t>Seller Functions</w:t>
      </w:r>
    </w:p>
    <w:p>
      <w:pPr>
        <w:pStyle w:val="Heading3"/>
        <w:ind w:left="0" w:right="133" w:hanging="0"/>
        <w:rPr/>
      </w:pPr>
      <w:r>
        <w:rPr/>
        <w:t>Registration and Login</w:t>
      </w:r>
    </w:p>
    <w:p>
      <w:pPr>
        <w:pStyle w:val="Normal"/>
        <w:rPr/>
      </w:pPr>
      <w:r>
        <w:rPr/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1905</wp:posOffset>
            </wp:positionH>
            <wp:positionV relativeFrom="paragraph">
              <wp:posOffset>-12700</wp:posOffset>
            </wp:positionV>
            <wp:extent cx="5673090" cy="277368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09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Emphasis"/>
        </w:rPr>
        <w:t>System Administrator</w:t>
      </w:r>
      <w:r>
        <w:rPr/>
        <w:t xml:space="preserve"> registers the Seller and Bank.</w:t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numPr>
          <w:ilvl w:val="0"/>
          <w:numId w:val="0"/>
        </w:numPr>
        <w:spacing w:before="0" w:after="0"/>
        <w:ind w:hanging="0"/>
        <w:rPr/>
      </w:pPr>
      <w:r>
        <w:rPr/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Seller receives an email to set their password.</w:t>
      </w:r>
    </w:p>
    <w:p>
      <w:pPr>
        <w:pStyle w:val="TextBody"/>
        <w:numPr>
          <w:ilvl w:val="0"/>
          <w:numId w:val="0"/>
        </w:numPr>
        <w:spacing w:before="0" w:after="0"/>
        <w:ind w:hanging="0"/>
        <w:rPr/>
      </w:pPr>
      <w:r>
        <w:rPr/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Upon successful password setup, the Seller can log in to the system.</w:t>
      </w:r>
    </w:p>
    <w:p>
      <w:pPr>
        <w:pStyle w:val="TextBody"/>
        <w:numPr>
          <w:ilvl w:val="0"/>
          <w:numId w:val="0"/>
        </w:numPr>
        <w:ind w:hanging="0"/>
        <w:rPr/>
      </w:pPr>
      <w:r>
        <w:rPr/>
      </w:r>
    </w:p>
    <w:p>
      <w:pPr>
        <w:pStyle w:val="Heading3"/>
        <w:numPr>
          <w:ilvl w:val="0"/>
          <w:numId w:val="0"/>
        </w:numPr>
        <w:ind w:left="0" w:right="133" w:hanging="0"/>
        <w:rPr/>
      </w:pPr>
      <w:r>
        <w:rPr/>
        <w:t>Dashboard Overview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49530</wp:posOffset>
            </wp:positionH>
            <wp:positionV relativeFrom="paragraph">
              <wp:posOffset>11430</wp:posOffset>
            </wp:positionV>
            <wp:extent cx="5673090" cy="277368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09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Emphasis"/>
        </w:rPr>
        <w:t>Supply and Demand Statistics:</w:t>
      </w:r>
      <w:r>
        <w:rPr/>
        <w:t xml:space="preserve"> Sellers can view these for decision-making.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Letters of Credit and Quotations:</w:t>
      </w:r>
      <w:r>
        <w:rPr/>
        <w:t xml:space="preserve"> Both approved and rejected.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Item Supply History:</w:t>
      </w:r>
      <w:r>
        <w:rPr/>
        <w:t xml:space="preserve"> Detailed records of past supplies.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Inventory Items:</w:t>
      </w:r>
      <w:r>
        <w:rPr/>
        <w:t xml:space="preserve"> View items with cumulative totals.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</w:rPr>
        <w:t>Weight Comparison:</w:t>
      </w:r>
      <w:r>
        <w:rPr/>
        <w:t xml:space="preserve"> Track item/breed tag numbers throughout the supply chain and compare weights.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9" w:hanging="283"/>
        <w:rPr/>
      </w:pPr>
      <w:r>
        <w:rPr/>
      </w:r>
    </w:p>
    <w:p>
      <w:pPr>
        <w:pStyle w:val="Heading3"/>
        <w:numPr>
          <w:ilvl w:val="0"/>
          <w:numId w:val="0"/>
        </w:numPr>
        <w:ind w:left="0" w:right="133" w:hanging="0"/>
        <w:rPr/>
      </w:pPr>
      <w:r>
        <w:rPr/>
        <w:t>Buyer Management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Seller registers the Buyer.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Buyer receives an email to set their password and logs in.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Seller sends a quotation to the Buyer based on prior agreements.</w:t>
      </w:r>
    </w:p>
    <w:p>
      <w:pPr>
        <w:pStyle w:val="TextBody"/>
        <w:numPr>
          <w:ilvl w:val="0"/>
          <w:numId w:val="0"/>
        </w:numPr>
        <w:spacing w:before="0" w:after="0"/>
        <w:ind w:hanging="0"/>
        <w:rPr/>
      </w:pPr>
      <w:r>
        <w:rPr/>
      </w:r>
    </w:p>
    <w:p>
      <w:pPr>
        <w:pStyle w:val="TextBody"/>
        <w:numPr>
          <w:ilvl w:val="0"/>
          <w:numId w:val="0"/>
        </w:numPr>
        <w:spacing w:before="0" w:after="0"/>
        <w:ind w:hanging="0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89805" cy="234188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805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numPr>
          <w:ilvl w:val="0"/>
          <w:numId w:val="0"/>
        </w:numPr>
        <w:spacing w:before="0" w:after="0"/>
        <w:ind w:hanging="0"/>
        <w:rPr/>
      </w:pPr>
      <w:r>
        <w:rPr/>
      </w:r>
    </w:p>
    <w:p>
      <w:pPr>
        <w:pStyle w:val="TextBody"/>
        <w:numPr>
          <w:ilvl w:val="0"/>
          <w:numId w:val="0"/>
        </w:numPr>
        <w:spacing w:before="0" w:after="0"/>
        <w:ind w:hanging="0"/>
        <w:rPr/>
      </w:pPr>
      <w:r>
        <w:rPr/>
        <w:t>PDF documents for both Buyer and Seller are auto-generated.</w:t>
      </w:r>
    </w:p>
    <w:p>
      <w:pPr>
        <w:pStyle w:val="TextBody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869950</wp:posOffset>
            </wp:positionH>
            <wp:positionV relativeFrom="paragraph">
              <wp:posOffset>48895</wp:posOffset>
            </wp:positionV>
            <wp:extent cx="3498850" cy="414464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TextBody"/>
        <w:spacing w:before="0" w:after="0"/>
        <w:rPr/>
      </w:pPr>
      <w:r>
        <w:rPr/>
        <w:tab/>
      </w:r>
    </w:p>
    <w:p>
      <w:pPr>
        <w:pStyle w:val="TextBody"/>
        <w:numPr>
          <w:ilvl w:val="0"/>
          <w:numId w:val="0"/>
        </w:numPr>
        <w:spacing w:before="0" w:after="0"/>
        <w:ind w:hanging="0"/>
        <w:rPr/>
      </w:pPr>
      <w:r>
        <w:rPr/>
      </w:r>
    </w:p>
    <w:p>
      <w:pPr>
        <w:pStyle w:val="TextBody"/>
        <w:numPr>
          <w:ilvl w:val="0"/>
          <w:numId w:val="0"/>
        </w:numPr>
        <w:spacing w:before="0" w:after="0"/>
        <w:ind w:hanging="0"/>
        <w:rPr/>
      </w:pPr>
      <w:r>
        <w:rPr/>
        <w:t xml:space="preserve"> </w:t>
      </w:r>
    </w:p>
    <w:p>
      <w:pPr>
        <w:pStyle w:val="TextBody"/>
        <w:numPr>
          <w:ilvl w:val="0"/>
          <w:numId w:val="0"/>
        </w:numPr>
        <w:spacing w:before="0" w:after="0"/>
        <w:ind w:hanging="0"/>
        <w:rPr/>
      </w:pPr>
      <w:r>
        <w:rPr/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Buyer </w:t>
      </w:r>
      <w:r>
        <w:rPr/>
        <w:t>receives an email with the new quotation and PDF.</w:t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posOffset>153670</wp:posOffset>
            </wp:positionH>
            <wp:positionV relativeFrom="paragraph">
              <wp:posOffset>72390</wp:posOffset>
            </wp:positionV>
            <wp:extent cx="2284095" cy="343852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09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numPr>
          <w:ilvl w:val="0"/>
          <w:numId w:val="0"/>
        </w:numPr>
        <w:spacing w:before="0" w:after="0"/>
        <w:ind w:hanging="0"/>
        <w:rPr/>
      </w:pPr>
      <w:r>
        <w:rPr/>
        <w:t>Buyer can accept or reject the quotation:</w:t>
      </w:r>
    </w:p>
    <w:p>
      <w:pPr>
        <w:pStyle w:val="TextBody"/>
        <w:numPr>
          <w:ilvl w:val="1"/>
          <w:numId w:val="6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/>
        <w:t>If rejected, they must provide a reason.</w:t>
      </w:r>
    </w:p>
    <w:p>
      <w:pPr>
        <w:pStyle w:val="TextBody"/>
        <w:numPr>
          <w:ilvl w:val="1"/>
          <w:numId w:val="6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 xml:space="preserve">If accepted, the Buyer </w:t>
      </w:r>
    </w:p>
    <w:p>
      <w:pPr>
        <w:pStyle w:val="TextBody"/>
        <w:numPr>
          <w:ilvl w:val="1"/>
          <w:numId w:val="6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communicates with their bank to send a Letter of Credit (LC) to the Seller's bank.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ab/>
        <w:tab/>
      </w:r>
    </w:p>
    <w:p>
      <w:pPr>
        <w:pStyle w:val="TextBody"/>
        <w:rPr/>
      </w:pPr>
      <w:r>
        <w:rPr/>
      </w:r>
    </w:p>
    <w:p>
      <w:pPr>
        <w:pStyle w:val="Heading3"/>
        <w:numPr>
          <w:ilvl w:val="0"/>
          <w:numId w:val="0"/>
        </w:numPr>
        <w:ind w:left="0" w:right="133" w:hanging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numPr>
          <w:ilvl w:val="0"/>
          <w:numId w:val="0"/>
        </w:numPr>
        <w:ind w:left="0" w:right="133" w:hanging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ind w:left="0" w:right="133" w:hanging="0"/>
        <w:rPr/>
      </w:pPr>
      <w:r>
        <w:rPr/>
        <w:t>Letter of Credit (LC) Management</w:t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numPr>
          <w:ilvl w:val="0"/>
          <w:numId w:val="0"/>
        </w:numPr>
        <w:spacing w:before="0" w:after="0"/>
        <w:ind w:hanging="0"/>
        <w:rPr/>
      </w:pPr>
      <w:r>
        <w:rPr/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Bank sets their password upon registration and logs in.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Bank uploads the PDF received from the Buyer’s bank.</w:t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</w:r>
      <w:r>
        <mc:AlternateContent>
          <mc:Choice Requires="wps">
            <w:drawing>
              <wp:anchor behindDoc="0" distT="72390" distB="72390" distL="72390" distR="72390" simplePos="0" locked="0" layoutInCell="0" allowOverlap="1" relativeHeight="9">
                <wp:simplePos x="0" y="0"/>
                <wp:positionH relativeFrom="column">
                  <wp:posOffset>371475</wp:posOffset>
                </wp:positionH>
                <wp:positionV relativeFrom="paragraph">
                  <wp:posOffset>46990</wp:posOffset>
                </wp:positionV>
                <wp:extent cx="6058535" cy="3014980"/>
                <wp:effectExtent l="0" t="0" r="0" b="0"/>
                <wp:wrapSquare wrapText="bothSides"/>
                <wp:docPr id="6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8535" cy="3014980"/>
                        </a:xfrm>
                        <a:prstGeom prst="rect"/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9315" cy="2510790"/>
                                  <wp:effectExtent l="0" t="0" r="0" b="0"/>
                                  <wp:docPr id="7" name="Image6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age6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9315" cy="25107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53975" tIns="53975" rIns="53975" bIns="5397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00000" strokeweight="0pt" style="position:absolute;rotation:-0;width:477.05pt;height:237.4pt;mso-wrap-distance-left:5.7pt;mso-wrap-distance-right:5.7pt;mso-wrap-distance-top:5.7pt;mso-wrap-distance-bottom:5.7pt;margin-top:3.7pt;mso-position-vertical-relative:text;margin-left:29.25pt;mso-position-horizontal-relative:text">
                <v:textbox inset="0.0590277777777778in,0.0590277777777778in,0.0590277777777778in,0.0590277777777778in">
                  <w:txbxContent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9315" cy="2510790"/>
                            <wp:effectExtent l="0" t="0" r="0" b="0"/>
                            <wp:docPr id="8" name="Image6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Image6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9315" cy="25107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numPr>
          <w:ilvl w:val="0"/>
          <w:numId w:val="0"/>
        </w:numPr>
        <w:spacing w:before="0" w:after="0"/>
        <w:ind w:hanging="0"/>
        <w:rPr/>
      </w:pPr>
      <w:r>
        <w:rPr/>
        <w:t>The PDF should contain:</w:t>
      </w:r>
    </w:p>
    <w:p>
      <w:pPr>
        <w:pStyle w:val="TextBody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/>
        <w:t>Clause 93A: Item description</w:t>
      </w:r>
    </w:p>
    <w:p>
      <w:pPr>
        <w:pStyle w:val="TextBody"/>
        <w:numPr>
          <w:ilvl w:val="0"/>
          <w:numId w:val="0"/>
        </w:numPr>
        <w:spacing w:before="0" w:after="0"/>
        <w:ind w:hanging="0"/>
        <w:rPr/>
      </w:pPr>
      <w:r>
        <w:rPr/>
      </w:r>
    </w:p>
    <w:p>
      <w:pPr>
        <w:pStyle w:val="TextBody"/>
        <w:numPr>
          <w:ilvl w:val="1"/>
          <w:numId w:val="16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/>
        <w:t xml:space="preserve">Clause 93B: Weight in kilograms </w:t>
      </w:r>
      <w:r>
        <w:rPr/>
        <w:t>and Delivery date</w:t>
      </w:r>
    </w:p>
    <w:p>
      <w:pPr>
        <w:pStyle w:val="TextBody"/>
        <w:spacing w:before="0" w:after="0"/>
        <w:rPr/>
      </w:pPr>
      <w:r>
        <w:rPr/>
        <w:tab/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Seller accepts or rejects the LC:</w:t>
      </w:r>
    </w:p>
    <w:p>
      <w:pPr>
        <w:pStyle w:val="TextBody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9525</wp:posOffset>
            </wp:positionH>
            <wp:positionV relativeFrom="paragraph">
              <wp:posOffset>1086485</wp:posOffset>
            </wp:positionV>
            <wp:extent cx="5943600" cy="2860040"/>
            <wp:effectExtent l="0" t="0" r="0" b="0"/>
            <wp:wrapSquare wrapText="largest"/>
            <wp:docPr id="9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If rejected, a reason must be provided.</w:t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-428625</wp:posOffset>
            </wp:positionH>
            <wp:positionV relativeFrom="paragraph">
              <wp:posOffset>3872865</wp:posOffset>
            </wp:positionV>
            <wp:extent cx="6849110" cy="2586355"/>
            <wp:effectExtent l="0" t="0" r="0" b="0"/>
            <wp:wrapSquare wrapText="largest"/>
            <wp:docPr id="10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1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numPr>
          <w:ilvl w:val="1"/>
          <w:numId w:val="7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>If accepted, the system converts weight to quantity and broadcasts the requirement to registered breeders.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Heading2"/>
        <w:spacing w:before="40" w:after="283"/>
        <w:rPr/>
      </w:pPr>
      <w:r>
        <w:rPr/>
        <w:t xml:space="preserve">Breeder Functions </w:t>
      </w:r>
    </w:p>
    <w:p>
      <w:pPr>
        <w:pStyle w:val="Heading3"/>
        <w:ind w:left="0" w:right="133" w:hanging="0"/>
        <w:rPr/>
      </w:pPr>
      <w:r>
        <w:rPr/>
        <w:t>Supply Management</w:t>
      </w:r>
    </w:p>
    <w:p>
      <w:pPr>
        <w:pStyle w:val="Normal"/>
        <w:rPr/>
      </w:pPr>
      <w:r>
        <w:rPr/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Logs in to view required quantities.</w:t>
      </w:r>
    </w:p>
    <w:p>
      <w:pPr>
        <w:pStyle w:val="TextBody"/>
        <w:numPr>
          <w:ilvl w:val="0"/>
          <w:numId w:val="0"/>
        </w:numPr>
        <w:spacing w:before="0" w:after="0"/>
        <w:ind w:hanging="0"/>
        <w:rPr/>
      </w:pPr>
      <w:r>
        <w:rPr/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Fills in the supply form based on capacity. </w:t>
      </w:r>
      <w:r>
        <w:rPr/>
        <w:t xml:space="preserve">If they fill in more quantity than needed they get an error </w:t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81600" cy="4330700"/>
            <wp:effectExtent l="0" t="0" r="0" b="0"/>
            <wp:wrapSquare wrapText="largest"/>
            <wp:docPr id="11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numPr>
          <w:ilvl w:val="0"/>
          <w:numId w:val="0"/>
        </w:numPr>
        <w:spacing w:before="0" w:after="0"/>
        <w:ind w:hanging="0"/>
        <w:rPr/>
      </w:pPr>
      <w:r>
        <w:rPr/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Tracks supply history and status changes.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34005"/>
            <wp:effectExtent l="0" t="0" r="0" b="0"/>
            <wp:wrapSquare wrapText="largest"/>
            <wp:docPr id="12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orizontalLine"/>
        <w:rPr/>
      </w:pPr>
      <w:r>
        <w:rPr/>
      </w:r>
    </w:p>
    <w:p>
      <w:pPr>
        <w:pStyle w:val="Heading2"/>
        <w:spacing w:before="40" w:after="283"/>
        <w:rPr/>
      </w:pPr>
      <w:r>
        <w:rPr/>
        <w:t xml:space="preserve">Inventory Manager Functions </w:t>
      </w:r>
    </w:p>
    <w:p>
      <w:pPr>
        <w:pStyle w:val="Heading3"/>
        <w:ind w:left="0" w:right="133" w:hanging="0"/>
        <w:rPr/>
      </w:pPr>
      <w:r>
        <w:rPr/>
        <w:t>Supply Confirmation</w:t>
      </w:r>
    </w:p>
    <w:p>
      <w:pPr>
        <w:pStyle w:val="Normal"/>
        <w:rPr/>
      </w:pPr>
      <w:r>
        <w:rPr/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Logs in to view unconfirmed supplies.</w:t>
      </w:r>
    </w:p>
    <w:p>
      <w:pPr>
        <w:pStyle w:val="TextBody"/>
        <w:numPr>
          <w:ilvl w:val="0"/>
          <w:numId w:val="0"/>
        </w:numPr>
        <w:spacing w:before="0" w:after="0"/>
        <w:ind w:hanging="0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73090" cy="2571750"/>
            <wp:effectExtent l="0" t="0" r="0" b="0"/>
            <wp:wrapSquare wrapText="largest"/>
            <wp:docPr id="13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09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Confirms received items.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Records conditions of items received</w:t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694305"/>
            <wp:effectExtent l="0" t="0" r="0" b="0"/>
            <wp:wrapSquare wrapText="largest"/>
            <wp:docPr id="14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Heading2"/>
        <w:spacing w:before="40" w:after="283"/>
        <w:rPr/>
      </w:pPr>
      <w:r>
        <w:rPr/>
        <w:t xml:space="preserve">Slaughter House Manager Functions </w:t>
      </w:r>
    </w:p>
    <w:p>
      <w:pPr>
        <w:pStyle w:val="Heading3"/>
        <w:ind w:left="0" w:right="133" w:hanging="0"/>
        <w:rPr/>
      </w:pPr>
      <w:r>
        <w:rPr/>
        <w:t>Item Management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-338455</wp:posOffset>
            </wp:positionH>
            <wp:positionV relativeFrom="paragraph">
              <wp:posOffset>365760</wp:posOffset>
            </wp:positionV>
            <wp:extent cx="6620510" cy="2834005"/>
            <wp:effectExtent l="0" t="0" r="0" b="0"/>
            <wp:wrapSquare wrapText="largest"/>
            <wp:docPr id="15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0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Logs in to record item weights pre-slaughter.</w:t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Only sees list of items once weight is confirmed</w:t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34005"/>
            <wp:effectExtent l="0" t="0" r="0" b="0"/>
            <wp:wrapSquare wrapText="largest"/>
            <wp:docPr id="16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  <w:tab/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-462280</wp:posOffset>
            </wp:positionH>
            <wp:positionV relativeFrom="paragraph">
              <wp:posOffset>525145</wp:posOffset>
            </wp:positionV>
            <wp:extent cx="6687185" cy="2946400"/>
            <wp:effectExtent l="0" t="0" r="0" b="0"/>
            <wp:wrapSquare wrapText="largest"/>
            <wp:docPr id="17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718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Fills in forms to deduct inventory items.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The error is returned when more items than available entered</w:t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Records export and local sale parts.</w:t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34005"/>
            <wp:effectExtent l="0" t="0" r="0" b="0"/>
            <wp:wrapSquare wrapText="largest"/>
            <wp:docPr id="18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40" w:after="283"/>
        <w:rPr/>
      </w:pPr>
      <w:r>
        <w:rPr/>
        <w:t xml:space="preserve">Chilled Warehouse Functions </w:t>
      </w:r>
    </w:p>
    <w:p>
      <w:pPr>
        <w:pStyle w:val="Heading3"/>
        <w:ind w:left="0" w:right="133" w:hanging="0"/>
        <w:rPr/>
      </w:pPr>
      <w:r>
        <w:rPr/>
        <w:t>Inventory Tracking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Records items based on slaughterhouse manager's input.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Separates items into export and local sale categories.</w:t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34005"/>
            <wp:effectExtent l="0" t="0" r="0" b="0"/>
            <wp:wrapSquare wrapText="largest"/>
            <wp:docPr id="19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34005"/>
            <wp:effectExtent l="0" t="0" r="0" b="0"/>
            <wp:wrapSquare wrapText="largest"/>
            <wp:docPr id="20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/>
      </w:r>
    </w:p>
    <w:p>
      <w:pPr>
        <w:pStyle w:val="Heading2"/>
        <w:spacing w:before="40" w:after="283"/>
        <w:rPr/>
      </w:pPr>
      <w:r>
        <w:rPr/>
        <w:t xml:space="preserve">Export Manager Functions </w:t>
      </w:r>
    </w:p>
    <w:p>
      <w:pPr>
        <w:pStyle w:val="Heading3"/>
        <w:ind w:left="0" w:right="133" w:hanging="0"/>
        <w:rPr/>
      </w:pPr>
      <w:r>
        <w:rPr/>
        <w:t>Export Documentation</w:t>
      </w:r>
    </w:p>
    <w:p>
      <w:pPr>
        <w:pStyle w:val="Normal"/>
        <w:rPr/>
      </w:pPr>
      <w:r>
        <w:rPr/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Fills in export details from Seller to Buyer.</w:t>
      </w:r>
    </w:p>
    <w:p>
      <w:pPr>
        <w:pStyle w:val="TextBody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34005"/>
            <wp:effectExtent l="0" t="0" r="0" b="0"/>
            <wp:wrapSquare wrapText="largest"/>
            <wp:docPr id="21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Tracks export status.</w:t>
      </w:r>
    </w:p>
    <w:p>
      <w:pPr>
        <w:pStyle w:val="TextBody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29560"/>
            <wp:effectExtent l="0" t="0" r="0" b="0"/>
            <wp:wrapSquare wrapText="largest"/>
            <wp:docPr id="22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spacing w:before="0" w:after="0"/>
        <w:rPr/>
      </w:pPr>
      <w:r>
        <w:rPr/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Generates necessary documents like invoices and packaging information.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34005"/>
            <wp:effectExtent l="0" t="0" r="0" b="0"/>
            <wp:wrapSquare wrapText="largest"/>
            <wp:docPr id="23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34005"/>
            <wp:effectExtent l="0" t="0" r="0" b="0"/>
            <wp:wrapSquare wrapText="largest"/>
            <wp:docPr id="24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280" w:after="280"/>
        <w:ind w:left="-270" w:right="0" w:hanging="0"/>
        <w:jc w:val="center"/>
        <w:textAlignment w:val="baseline"/>
        <w:rPr>
          <w:rFonts w:ascii="Arial" w:hAnsi="Arial" w:cs="Arial"/>
        </w:rPr>
      </w:pPr>
      <w:r>
        <w:rPr>
          <w:rFonts w:cs="Tahoma" w:ascii="Tahoma" w:hAnsi="Tahoma"/>
          <w:b/>
          <w:sz w:val="24"/>
          <w:szCs w:val="24"/>
        </w:rPr>
      </w:r>
    </w:p>
    <w:p>
      <w:pPr>
        <w:pStyle w:val="Heading2"/>
        <w:spacing w:before="40" w:after="283"/>
        <w:rPr/>
      </w:pPr>
      <w:r>
        <w:rPr/>
        <w:t xml:space="preserve">Bank Functions </w:t>
      </w:r>
    </w:p>
    <w:p>
      <w:pPr>
        <w:pStyle w:val="Heading3"/>
        <w:ind w:left="0" w:right="133" w:hanging="0"/>
        <w:rPr/>
      </w:pPr>
      <w:r>
        <w:rPr/>
        <w:t>LC and Payment Management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Uploads LCs received from the Buyer’s bank.</w:t>
      </w:r>
    </w:p>
    <w:p>
      <w:pPr>
        <w:pStyle w:val="TextBody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77820"/>
            <wp:effectExtent l="0" t="0" r="0" b="0"/>
            <wp:wrapSquare wrapText="largest"/>
            <wp:docPr id="25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Views Bill of Lading documents during exports.</w:t>
      </w:r>
    </w:p>
    <w:p>
      <w:pPr>
        <w:pStyle w:val="TextBody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34005"/>
            <wp:effectExtent l="0" t="0" r="0" b="0"/>
            <wp:wrapSquare wrapText="largest"/>
            <wp:docPr id="26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Monitors LC statuses and payment confirmations from Inventory Managers.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Processes payments based on confirmation statuses. 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Registers and assign inventory managers to controlcenters</w:t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34005"/>
            <wp:effectExtent l="0" t="0" r="0" b="0"/>
            <wp:wrapSquare wrapText="largest"/>
            <wp:docPr id="27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orizontalLine"/>
        <w:rPr/>
      </w:pPr>
      <w:r>
        <w:rPr/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34005"/>
            <wp:effectExtent l="0" t="0" r="0" b="0"/>
            <wp:wrapSquare wrapText="largest"/>
            <wp:docPr id="28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/>
      </w:r>
    </w:p>
    <w:p>
      <w:pPr>
        <w:pStyle w:val="Heading2"/>
        <w:spacing w:before="40" w:after="283"/>
        <w:rPr/>
      </w:pPr>
      <w:r>
        <w:rPr/>
        <w:t xml:space="preserve">Buyer Functions </w:t>
      </w:r>
    </w:p>
    <w:p>
      <w:pPr>
        <w:pStyle w:val="Heading3"/>
        <w:ind w:left="0" w:right="133" w:hanging="0"/>
        <w:rPr/>
      </w:pPr>
      <w:r>
        <w:rPr/>
        <w:t>Quotation Management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Receives email notification for new quotations.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Reviews and accepts or rejects the quotation:</w:t>
      </w:r>
    </w:p>
    <w:p>
      <w:pPr>
        <w:pStyle w:val="TextBody"/>
        <w:numPr>
          <w:ilvl w:val="1"/>
          <w:numId w:val="8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/>
        <w:t>If accepted, coordinates with their bank for LC issuance.</w:t>
      </w:r>
    </w:p>
    <w:p>
      <w:pPr>
        <w:pStyle w:val="TextBody"/>
        <w:numPr>
          <w:ilvl w:val="0"/>
          <w:numId w:val="0"/>
        </w:numPr>
        <w:ind w:hanging="0"/>
        <w:rPr/>
      </w:pPr>
      <w:r>
        <w:rPr/>
        <w:t>If rejected, provides a reason.</w:t>
      </w:r>
    </w:p>
    <w:p>
      <w:pPr>
        <w:pStyle w:val="Heading2"/>
        <w:spacing w:before="40" w:after="283"/>
        <w:rPr/>
      </w:pPr>
      <w:r>
        <w:rPr/>
      </w:r>
    </w:p>
    <w:p>
      <w:pPr>
        <w:pStyle w:val="HorizontalLine"/>
        <w:rPr/>
      </w:pPr>
      <w:r>
        <w:rPr/>
      </w:r>
    </w:p>
    <w:p>
      <w:pPr>
        <w:pStyle w:val="Heading2"/>
        <w:spacing w:before="40" w:after="283"/>
        <w:rPr/>
      </w:pPr>
      <w:r>
        <w:rPr/>
        <w:t xml:space="preserve">Collateral Manager Functions </w:t>
      </w:r>
    </w:p>
    <w:p>
      <w:pPr>
        <w:pStyle w:val="Heading3"/>
        <w:ind w:left="0" w:right="133" w:hanging="0"/>
        <w:rPr/>
      </w:pPr>
      <w:r>
        <w:rPr/>
        <w:t>Inventory Oversight</w:t>
      </w:r>
    </w:p>
    <w:p>
      <w:pPr>
        <w:pStyle w:val="Normal"/>
        <w:rPr/>
      </w:pPr>
      <w:r>
        <w:rPr/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Registered by the bank.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Oversees inventory information for assigned control centers.</w:t>
      </w:r>
    </w:p>
    <w:p>
      <w:pPr>
        <w:pStyle w:val="HorizontalLine"/>
        <w:rPr/>
      </w:pPr>
      <w:r>
        <w:rPr/>
      </w:r>
    </w:p>
    <w:p>
      <w:pPr>
        <w:pStyle w:val="Heading2"/>
        <w:spacing w:before="40" w:after="283"/>
        <w:rPr>
          <w:rFonts w:ascii="Arial" w:hAnsi="Arial" w:cs="Arial"/>
        </w:rPr>
      </w:pPr>
      <w:r>
        <w:rPr>
          <w:rFonts w:cs="Tahoma" w:ascii="Tahoma" w:hAnsi="Tahoma"/>
          <w:b/>
          <w:sz w:val="24"/>
          <w:szCs w:val="24"/>
        </w:rPr>
      </w:r>
    </w:p>
    <w:sectPr>
      <w:headerReference w:type="default" r:id="rId29"/>
      <w:headerReference w:type="first" r:id="rId30"/>
      <w:footerReference w:type="default" r:id="rId31"/>
      <w:footerReference w:type="first" r:id="rId32"/>
      <w:type w:val="nextPage"/>
      <w:pgSz w:w="12240" w:h="15840"/>
      <w:pgMar w:left="1440" w:right="1440" w:gutter="0" w:header="426" w:top="1440" w:footer="720" w:bottom="1440"/>
      <w:pgBorders w:display="allPages" w:offsetFrom="page">
        <w:top w:val="single" w:sz="4" w:space="21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start="0"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column">
                <wp:posOffset>-838200</wp:posOffset>
              </wp:positionH>
              <wp:positionV relativeFrom="paragraph">
                <wp:posOffset>316865</wp:posOffset>
              </wp:positionV>
              <wp:extent cx="3762375" cy="1241425"/>
              <wp:effectExtent l="635" t="635" r="0" b="0"/>
              <wp:wrapNone/>
              <wp:docPr id="30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62360" cy="124128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160"/>
                            <w:rPr/>
                          </w:pPr>
                          <w:r>
                            <w:rPr>
                              <w:rFonts w:cs="Arial" w:ascii="Arial" w:hAnsi="Arial"/>
                              <w:color w:val="FFFFFF"/>
                              <w:sz w:val="18"/>
                              <w:szCs w:val="16"/>
                            </w:rPr>
                            <w:t>Fintech Kenya Limited</w:t>
                            <w:br/>
                            <w:t>16</w:t>
                          </w:r>
                          <w:r>
                            <w:rPr>
                              <w:rFonts w:cs="Arial" w:ascii="Arial" w:hAnsi="Arial"/>
                              <w:color w:val="FFFFFF"/>
                              <w:sz w:val="18"/>
                              <w:szCs w:val="16"/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rFonts w:cs="Arial" w:ascii="Arial" w:hAnsi="Arial"/>
                              <w:color w:val="FFFFFF"/>
                              <w:sz w:val="18"/>
                              <w:szCs w:val="16"/>
                            </w:rPr>
                            <w:t xml:space="preserve"> Floor, Ambank House, University ay, Nairobi</w:t>
                            <w:br/>
                            <w:t>P.O Box 39466 – 00623airobi, Kenya</w:t>
                            <w:br/>
                            <w:t>Tel: +254 20 2221 754 / 2211 290 Fax: +254 20 2213136 / 2222751</w:t>
                            <w:br/>
                            <w:t xml:space="preserve">Email: </w:t>
                          </w:r>
                          <w:hyperlink r:id="rId1">
                            <w:r>
                              <w:rPr>
                                <w:rStyle w:val="InternetLink"/>
                                <w:rFonts w:cs="Arial"/>
                                <w:color w:val="FFFFFF"/>
                                <w:sz w:val="18"/>
                                <w:szCs w:val="16"/>
                              </w:rPr>
                              <w:t>info@fintech-group.com</w:t>
                            </w:r>
                          </w:hyperlink>
                          <w:r>
                            <w:rPr>
                              <w:rFonts w:cs="Arial" w:ascii="Arial" w:hAnsi="Arial"/>
                              <w:color w:val="FFFFFF"/>
                              <w:sz w:val="18"/>
                              <w:szCs w:val="16"/>
                            </w:rPr>
                            <w:br/>
                            <w:t xml:space="preserve">Website: </w:t>
                          </w:r>
                          <w:hyperlink r:id="rId2">
                            <w:r>
                              <w:rPr>
                                <w:rStyle w:val="InternetLink"/>
                                <w:rFonts w:cs="Arial"/>
                                <w:color w:val="FFFFFF"/>
                                <w:sz w:val="18"/>
                                <w:szCs w:val="16"/>
                              </w:rPr>
                              <w:t>www.fintech-group.com</w:t>
                            </w:r>
                          </w:hyperlink>
                          <w:r>
                            <w:rPr>
                              <w:rFonts w:cs="Arial" w:ascii="Arial" w:hAnsi="Arial"/>
                              <w:b/>
                              <w:color w:val="FFFFFF"/>
                              <w:sz w:val="18"/>
                              <w:szCs w:val="16"/>
                            </w:rPr>
                            <w:br/>
                            <w:t>Fintech Group: Kenya, Malawi, Mauritius, Uganda, Zimbabwe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stroked="f" o:allowincell="f" style="position:absolute;margin-left:-66pt;margin-top:24.95pt;width:296.2pt;height:97.7pt;mso-wrap-style:square;v-text-anchor:top">
              <v:fill o:detectmouseclick="t" on="false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spacing w:before="0" w:after="160"/>
                      <w:rPr/>
                    </w:pPr>
                    <w:r>
                      <w:rPr>
                        <w:rFonts w:cs="Arial" w:ascii="Arial" w:hAnsi="Arial"/>
                        <w:color w:val="FFFFFF"/>
                        <w:sz w:val="18"/>
                        <w:szCs w:val="16"/>
                      </w:rPr>
                      <w:t>Fintech Kenya Limited</w:t>
                      <w:br/>
                      <w:t>16</w:t>
                    </w:r>
                    <w:r>
                      <w:rPr>
                        <w:rFonts w:cs="Arial" w:ascii="Arial" w:hAnsi="Arial"/>
                        <w:color w:val="FFFFFF"/>
                        <w:sz w:val="18"/>
                        <w:szCs w:val="16"/>
                        <w:vertAlign w:val="superscript"/>
                      </w:rPr>
                      <w:t>th</w:t>
                    </w:r>
                    <w:r>
                      <w:rPr>
                        <w:rFonts w:cs="Arial" w:ascii="Arial" w:hAnsi="Arial"/>
                        <w:color w:val="FFFFFF"/>
                        <w:sz w:val="18"/>
                        <w:szCs w:val="16"/>
                      </w:rPr>
                      <w:t xml:space="preserve"> Floor, Ambank House, University ay, Nairobi</w:t>
                      <w:br/>
                      <w:t>P.O Box 39466 – 00623airobi, Kenya</w:t>
                      <w:br/>
                      <w:t>Tel: +254 20 2221 754 / 2211 290 Fax: +254 20 2213136 / 2222751</w:t>
                      <w:br/>
                      <w:t xml:space="preserve">Email: </w:t>
                    </w:r>
                    <w:hyperlink r:id="rId3">
                      <w:r>
                        <w:rPr>
                          <w:rStyle w:val="InternetLink"/>
                          <w:rFonts w:cs="Arial"/>
                          <w:color w:val="FFFFFF"/>
                          <w:sz w:val="18"/>
                          <w:szCs w:val="16"/>
                        </w:rPr>
                        <w:t>info@fintech-group.com</w:t>
                      </w:r>
                    </w:hyperlink>
                    <w:r>
                      <w:rPr>
                        <w:rFonts w:cs="Arial" w:ascii="Arial" w:hAnsi="Arial"/>
                        <w:color w:val="FFFFFF"/>
                        <w:sz w:val="18"/>
                        <w:szCs w:val="16"/>
                      </w:rPr>
                      <w:br/>
                      <w:t xml:space="preserve">Website: </w:t>
                    </w:r>
                    <w:hyperlink r:id="rId4">
                      <w:r>
                        <w:rPr>
                          <w:rStyle w:val="InternetLink"/>
                          <w:rFonts w:cs="Arial"/>
                          <w:color w:val="FFFFFF"/>
                          <w:sz w:val="18"/>
                          <w:szCs w:val="16"/>
                        </w:rPr>
                        <w:t>www.fintech-group.com</w:t>
                      </w:r>
                    </w:hyperlink>
                    <w:r>
                      <w:rPr>
                        <w:rFonts w:cs="Arial" w:ascii="Arial" w:hAnsi="Arial"/>
                        <w:b/>
                        <w:color w:val="FFFFFF"/>
                        <w:sz w:val="18"/>
                        <w:szCs w:val="16"/>
                      </w:rPr>
                      <w:br/>
                      <w:t>Fintech Group: Kenya, Malawi, Mauritius, Uganda, Zimbabwe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  <w:p>
    <w:pPr>
      <w:pStyle w:val="Header"/>
      <w:rPr/>
    </w:pPr>
    <w:r>
      <w:rPr/>
      <mc:AlternateContent>
        <mc:Choice Requires="wps">
          <w:drawing>
            <wp:anchor behindDoc="1" distT="0" distB="5715" distL="0" distR="0" simplePos="0" locked="0" layoutInCell="0" allowOverlap="1" relativeHeight="3">
              <wp:simplePos x="0" y="0"/>
              <wp:positionH relativeFrom="column">
                <wp:posOffset>-914400</wp:posOffset>
              </wp:positionH>
              <wp:positionV relativeFrom="paragraph">
                <wp:posOffset>211455</wp:posOffset>
              </wp:positionV>
              <wp:extent cx="7734300" cy="52070"/>
              <wp:effectExtent l="0" t="0" r="0" b="0"/>
              <wp:wrapNone/>
              <wp:docPr id="29" name="Rectangle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4240" cy="52200"/>
                      </a:xfrm>
                      <a:prstGeom prst="rect">
                        <a:avLst/>
                      </a:prstGeom>
                      <a:solidFill>
                        <a:srgbClr val="3b7fa4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ctangle 10" path="m0,0l-2147483645,0l-2147483645,-2147483646l0,-2147483646xe" fillcolor="#3b7fa4" stroked="f" o:allowincell="f" style="position:absolute;margin-left:-72pt;margin-top:16.65pt;width:608.95pt;height:4.05pt;mso-wrap-style:none;v-text-anchor:middle">
              <v:fill o:detectmouseclick="t" type="solid" color2="#c4805b"/>
              <v:stroke color="#3465a4" joinstyle="round" endcap="flat"/>
              <w10:wrap type="none"/>
            </v:rect>
          </w:pict>
        </mc:Fallback>
      </mc:AlternateContent>
    </w:r>
  </w:p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>
        <w:sz w:val="24"/>
        <w:b/>
        <w:bCs/>
        <w:rFonts w:ascii="Tahoma" w:hAnsi="Tahoma" w:cs="Tahoma"/>
        <w:color w:val="0070C0"/>
      </w:rPr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view w:val="web"/>
  <w:zoom w:percent="1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kern w:val="2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59" w:before="0" w:after="160"/>
      <w:jc w:val="left"/>
    </w:pPr>
    <w:rPr>
      <w:rFonts w:ascii="Calibri" w:hAnsi="Calibri" w:eastAsia="Calibr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1"/>
      </w:numPr>
      <w:spacing w:before="240" w:after="0"/>
      <w:outlineLvl w:val="0"/>
    </w:pPr>
    <w:rPr>
      <w:rFonts w:ascii="Calibri Light" w:hAnsi="Calibri Light" w:eastAsia="Calibri" w:cs="DejaVu Sans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40" w:after="0"/>
      <w:outlineLvl w:val="1"/>
    </w:pPr>
    <w:rPr>
      <w:rFonts w:ascii="Calibri Light" w:hAnsi="Calibri Light" w:eastAsia="Calibri" w:cs="DejaVu Sans"/>
      <w:color w:val="2F5496"/>
      <w:sz w:val="26"/>
      <w:szCs w:val="26"/>
    </w:rPr>
  </w:style>
  <w:style w:type="paragraph" w:styleId="Heading3">
    <w:name w:val="Heading 3"/>
    <w:next w:val="Normal"/>
    <w:link w:val="Heading3Char"/>
    <w:qFormat/>
    <w:pPr>
      <w:keepNext w:val="true"/>
      <w:keepLines/>
      <w:widowControl/>
      <w:numPr>
        <w:ilvl w:val="2"/>
        <w:numId w:val="1"/>
      </w:numPr>
      <w:kinsoku w:val="true"/>
      <w:overflowPunct w:val="true"/>
      <w:autoSpaceDE w:val="true"/>
      <w:bidi w:val="0"/>
      <w:spacing w:lineRule="auto" w:line="259" w:before="0" w:after="21"/>
      <w:ind w:left="0" w:right="133" w:hanging="0"/>
      <w:jc w:val="center"/>
      <w:outlineLvl w:val="2"/>
    </w:pPr>
    <w:rPr>
      <w:rFonts w:ascii="Arial" w:hAnsi="Arial" w:eastAsia="Arial" w:cs="Arial"/>
      <w:b/>
      <w:i/>
      <w:color w:val="000000"/>
      <w:kern w:val="0"/>
      <w:sz w:val="20"/>
      <w:szCs w:val="22"/>
      <w:lang w:val="en-US" w:eastAsia="en-US" w:bidi="ar-SA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3"/>
        <w:numId w:val="1"/>
      </w:numPr>
      <w:spacing w:before="40" w:after="0"/>
      <w:outlineLvl w:val="3"/>
    </w:pPr>
    <w:rPr>
      <w:rFonts w:ascii="Calibri Light" w:hAnsi="Calibri Light" w:eastAsia="Calibri" w:cs="DejaVu Sans"/>
      <w:i/>
      <w:iCs/>
      <w:color w:val="2F5496"/>
    </w:rPr>
  </w:style>
  <w:style w:type="paragraph" w:styleId="Heading5">
    <w:name w:val="Heading 5"/>
    <w:next w:val="Normal"/>
    <w:link w:val="Heading5Char"/>
    <w:qFormat/>
    <w:pPr>
      <w:keepNext w:val="true"/>
      <w:keepLines/>
      <w:widowControl/>
      <w:numPr>
        <w:ilvl w:val="4"/>
        <w:numId w:val="1"/>
      </w:numPr>
      <w:kinsoku w:val="true"/>
      <w:overflowPunct w:val="true"/>
      <w:autoSpaceDE w:val="true"/>
      <w:bidi w:val="0"/>
      <w:spacing w:lineRule="auto" w:line="259" w:before="0" w:after="21"/>
      <w:ind w:left="0" w:right="133" w:hanging="0"/>
      <w:jc w:val="center"/>
      <w:outlineLvl w:val="4"/>
    </w:pPr>
    <w:rPr>
      <w:rFonts w:ascii="Arial" w:hAnsi="Arial" w:eastAsia="Arial" w:cs="Arial"/>
      <w:b/>
      <w:i/>
      <w:color w:val="000000"/>
      <w:kern w:val="0"/>
      <w:sz w:val="20"/>
      <w:szCs w:val="22"/>
      <w:lang w:val="en-US" w:eastAsia="en-US" w:bidi="ar-SA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Calibri" w:cs="DejaVu Sans"/>
      <w:color w:val="1F3763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Calibri" w:cs="DejaVu Sans"/>
      <w:i/>
      <w:iCs/>
      <w:color w:val="1F3763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Calibri" w:cs="DejaVu Sans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Calibri" w:cs="DejaVu Sans"/>
      <w:i/>
      <w:iCs/>
      <w:color w:val="272727"/>
      <w:sz w:val="21"/>
      <w:szCs w:val="21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 Light" w:hAnsi="Calibri Light" w:eastAsia="Calibri" w:cs="DejaVu Sans"/>
      <w:color w:val="2F5496"/>
      <w:kern w:val="0"/>
      <w:sz w:val="32"/>
      <w:szCs w:val="32"/>
    </w:rPr>
  </w:style>
  <w:style w:type="character" w:styleId="Heading2Char">
    <w:name w:val="Heading 2 Char"/>
    <w:basedOn w:val="DefaultParagraphFont"/>
    <w:link w:val="Heading2"/>
    <w:qFormat/>
    <w:rPr>
      <w:rFonts w:ascii="Calibri Light" w:hAnsi="Calibri Light" w:eastAsia="Calibri" w:cs="DejaVu Sans"/>
      <w:color w:val="2F5496"/>
      <w:kern w:val="0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Arial" w:hAnsi="Arial" w:eastAsia="Arial" w:cs="Arial"/>
      <w:b/>
      <w:i/>
      <w:color w:val="000000"/>
      <w:kern w:val="0"/>
      <w:sz w:val="20"/>
    </w:rPr>
  </w:style>
  <w:style w:type="character" w:styleId="Heading4Char">
    <w:name w:val="Heading 4 Char"/>
    <w:basedOn w:val="DefaultParagraphFont"/>
    <w:link w:val="Heading4"/>
    <w:qFormat/>
    <w:rPr>
      <w:rFonts w:ascii="Calibri Light" w:hAnsi="Calibri Light" w:eastAsia="Calibri" w:cs="DejaVu Sans"/>
      <w:i/>
      <w:iCs/>
      <w:color w:val="2F5496"/>
      <w:kern w:val="0"/>
    </w:rPr>
  </w:style>
  <w:style w:type="character" w:styleId="Heading5Char">
    <w:name w:val="Heading 5 Char"/>
    <w:basedOn w:val="DefaultParagraphFont"/>
    <w:link w:val="Heading5"/>
    <w:qFormat/>
    <w:rPr>
      <w:rFonts w:ascii="Arial" w:hAnsi="Arial" w:eastAsia="Arial" w:cs="Arial"/>
      <w:b/>
      <w:i/>
      <w:color w:val="000000"/>
      <w:kern w:val="0"/>
      <w:sz w:val="20"/>
    </w:rPr>
  </w:style>
  <w:style w:type="character" w:styleId="Heading6Char">
    <w:name w:val="Heading 6 Char"/>
    <w:basedOn w:val="DefaultParagraphFont"/>
    <w:link w:val="Heading6"/>
    <w:qFormat/>
    <w:rPr>
      <w:rFonts w:ascii="Calibri Light" w:hAnsi="Calibri Light" w:eastAsia="Calibri" w:cs="DejaVu Sans"/>
      <w:color w:val="1F3763"/>
      <w:kern w:val="0"/>
    </w:rPr>
  </w:style>
  <w:style w:type="character" w:styleId="Heading7Char">
    <w:name w:val="Heading 7 Char"/>
    <w:basedOn w:val="DefaultParagraphFont"/>
    <w:link w:val="Heading7"/>
    <w:qFormat/>
    <w:rPr>
      <w:rFonts w:ascii="Calibri Light" w:hAnsi="Calibri Light" w:eastAsia="Calibri" w:cs="DejaVu Sans"/>
      <w:i/>
      <w:iCs/>
      <w:color w:val="1F3763"/>
      <w:kern w:val="0"/>
    </w:rPr>
  </w:style>
  <w:style w:type="character" w:styleId="Heading8Char">
    <w:name w:val="Heading 8 Char"/>
    <w:basedOn w:val="DefaultParagraphFont"/>
    <w:link w:val="Heading8"/>
    <w:qFormat/>
    <w:rPr>
      <w:rFonts w:ascii="Calibri Light" w:hAnsi="Calibri Light" w:eastAsia="Calibri" w:cs="DejaVu Sans"/>
      <w:color w:val="272727"/>
      <w:kern w:val="0"/>
      <w:sz w:val="21"/>
      <w:szCs w:val="21"/>
    </w:rPr>
  </w:style>
  <w:style w:type="character" w:styleId="Heading9Char">
    <w:name w:val="Heading 9 Char"/>
    <w:basedOn w:val="DefaultParagraphFont"/>
    <w:link w:val="Heading9"/>
    <w:qFormat/>
    <w:rPr>
      <w:rFonts w:ascii="Calibri Light" w:hAnsi="Calibri Light" w:eastAsia="Calibri" w:cs="DejaVu Sans"/>
      <w:i/>
      <w:iCs/>
      <w:color w:val="272727"/>
      <w:kern w:val="0"/>
      <w:sz w:val="21"/>
      <w:szCs w:val="21"/>
    </w:rPr>
  </w:style>
  <w:style w:type="character" w:styleId="NoSpacingChar">
    <w:name w:val="No Spacing Char"/>
    <w:basedOn w:val="DefaultParagraphFont"/>
    <w:link w:val="NoSpacing"/>
    <w:qFormat/>
    <w:rPr>
      <w:rFonts w:eastAsia="Calibri"/>
      <w:kern w:val="0"/>
    </w:rPr>
  </w:style>
  <w:style w:type="character" w:styleId="HeaderChar">
    <w:name w:val="Header Char"/>
    <w:basedOn w:val="DefaultParagraphFont"/>
    <w:link w:val="Header"/>
    <w:qFormat/>
    <w:rPr>
      <w:kern w:val="0"/>
    </w:rPr>
  </w:style>
  <w:style w:type="character" w:styleId="FooterChar">
    <w:name w:val="Footer Char"/>
    <w:basedOn w:val="DefaultParagraphFont"/>
    <w:link w:val="Footer"/>
    <w:qFormat/>
    <w:rPr>
      <w:kern w:val="0"/>
    </w:rPr>
  </w:style>
  <w:style w:type="character" w:styleId="InternetLink">
    <w:name w:val="Hyperlink"/>
    <w:basedOn w:val="DefaultParagraphFont"/>
    <w:rPr>
      <w:color w:val="0563C1"/>
      <w:u w:val="single"/>
    </w:rPr>
  </w:style>
  <w:style w:type="character" w:styleId="UnresolvedMention1">
    <w:name w:val="Unresolved Mention1"/>
    <w:basedOn w:val="DefaultParagraphFont"/>
    <w:qFormat/>
    <w:rPr>
      <w:color w:val="605E5C"/>
      <w:shd w:fill="E1DFDD" w:val="clear"/>
    </w:rPr>
  </w:style>
  <w:style w:type="character" w:styleId="Normaltextrun">
    <w:name w:val="normaltextrun"/>
    <w:basedOn w:val="DefaultParagraphFont"/>
    <w:qFormat/>
    <w:rPr/>
  </w:style>
  <w:style w:type="character" w:styleId="Eop">
    <w:name w:val="eop"/>
    <w:basedOn w:val="DefaultParagraphFont"/>
    <w:qFormat/>
    <w:rPr/>
  </w:style>
  <w:style w:type="character" w:styleId="FootnoteCharacters">
    <w:name w:val="Footnote Characters"/>
    <w:qFormat/>
    <w:rPr/>
  </w:style>
  <w:style w:type="character" w:styleId="IndexLink">
    <w:name w:val="Index Link"/>
    <w:qFormat/>
    <w:rPr/>
  </w:style>
  <w:style w:type="character" w:styleId="FootnoteAnchor">
    <w:name w:val="Footnote Anchor"/>
    <w:rPr>
      <w:vertAlign w:val="superscript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link w:val="NoSpacingChar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eastAsia="Calibri" w:ascii="Calibri" w:hAnsi="Calibri"/>
      <w:color w:val="auto"/>
      <w:kern w:val="0"/>
      <w:sz w:val="22"/>
      <w:szCs w:val="22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left="720" w:right="0" w:hanging="0"/>
      <w:contextualSpacing/>
    </w:pPr>
    <w:rPr>
      <w:rFonts w:ascii="Arial" w:hAnsi="Arial" w:cs="Arial"/>
    </w:rPr>
  </w:style>
  <w:style w:type="paragraph" w:styleId="Caption1">
    <w:name w:val="caption"/>
    <w:basedOn w:val="Normal"/>
    <w:next w:val="Normal"/>
    <w:qFormat/>
    <w:pPr>
      <w:spacing w:lineRule="auto" w:line="240" w:before="0" w:after="200"/>
    </w:pPr>
    <w:rPr>
      <w:i/>
      <w:iCs/>
      <w:color w:val="44546A"/>
      <w:sz w:val="18"/>
      <w:szCs w:val="18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pPr>
      <w:numPr>
        <w:ilvl w:val="0"/>
        <w:numId w:val="0"/>
      </w:numPr>
      <w:outlineLvl w:val="9"/>
    </w:pPr>
    <w:rPr/>
  </w:style>
  <w:style w:type="paragraph" w:styleId="Contents1">
    <w:name w:val="TOC 1"/>
    <w:basedOn w:val="Normal"/>
    <w:next w:val="Normal"/>
    <w:autoRedefine/>
    <w:pPr>
      <w:spacing w:before="0" w:after="100"/>
    </w:pPr>
    <w:rPr/>
  </w:style>
  <w:style w:type="paragraph" w:styleId="Contents2">
    <w:name w:val="TOC 2"/>
    <w:basedOn w:val="Normal"/>
    <w:next w:val="Normal"/>
    <w:autoRedefine/>
    <w:pPr>
      <w:spacing w:before="0" w:after="100"/>
      <w:ind w:left="220" w:right="0" w:hanging="0"/>
    </w:pPr>
    <w:rPr/>
  </w:style>
  <w:style w:type="paragraph" w:styleId="Tableoffigures">
    <w:name w:val="table of figures"/>
    <w:basedOn w:val="Normal"/>
    <w:next w:val="Normal"/>
    <w:qFormat/>
    <w:pPr>
      <w:spacing w:before="0" w:after="0"/>
    </w:pPr>
    <w:rPr/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Paragraph">
    <w:name w:val="paragraph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FrameContents">
    <w:name w:val="Frame Contents"/>
    <w:basedOn w:val="Normal"/>
    <w:qFormat/>
    <w:pPr/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6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header" Target="header1.xml"/><Relationship Id="rId30" Type="http://schemas.openxmlformats.org/officeDocument/2006/relationships/header" Target="header2.xml"/><Relationship Id="rId31" Type="http://schemas.openxmlformats.org/officeDocument/2006/relationships/footer" Target="footer1.xml"/><Relationship Id="rId32" Type="http://schemas.openxmlformats.org/officeDocument/2006/relationships/footer" Target="footer2.xml"/><Relationship Id="rId33" Type="http://schemas.openxmlformats.org/officeDocument/2006/relationships/numbering" Target="numbering.xml"/><Relationship Id="rId34" Type="http://schemas.openxmlformats.org/officeDocument/2006/relationships/fontTable" Target="fontTable.xml"/><Relationship Id="rId35" Type="http://schemas.openxmlformats.org/officeDocument/2006/relationships/settings" Target="settings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mailto:info@fintech-group.com" TargetMode="External"/><Relationship Id="rId2" Type="http://schemas.openxmlformats.org/officeDocument/2006/relationships/hyperlink" Target="http://www.fintech-group.com/" TargetMode="External"/><Relationship Id="rId3" Type="http://schemas.openxmlformats.org/officeDocument/2006/relationships/hyperlink" Target="mailto:info@fintech-group.com" TargetMode="External"/><Relationship Id="rId4" Type="http://schemas.openxmlformats.org/officeDocument/2006/relationships/hyperlink" Target="http://www.fintech-group.com/" TargetMode="Externa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Application>LibreOffice/7.3.7.2$Linux_X86_64 LibreOffice_project/30$Build-2</Application>
  <AppVersion>15.0000</AppVersion>
  <Pages>1</Pages>
  <Words>636</Words>
  <Characters>3482</Characters>
  <CharactersWithSpaces>3957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2023-10-19T12:06:00Z</dcterms:created>
  <dc:creator>Brenda Nyaswa;Immaculate S. Baraza</dc:creator>
  <dc:description/>
  <dc:language>en-US</dc:language>
  <cp:lastModifiedBy/>
  <dcterms:modified xsi:type="dcterms:W3CDTF">2024-08-02T20:54:09Z</dcterms:modified>
  <cp:revision>6</cp:revision>
  <dc:subject>FinVocha V1</dc:subject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0x010100195699D252EF74419C9B8E2E8AFFFEEB</vt:lpwstr>
  </property>
</Properties>
</file>