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200"/>
        <w:jc w:val="center"/>
      </w:pPr>
      <w:r>
        <w:rPr>
          <w:rFonts w:ascii="Arial" w:eastAsia="SimHei" w:hAnsi="Arial"/>
          <w:b/>
          <w:bCs/>
          <w:color w:val="000000"/>
          <w:sz w:val="48"/>
          <w:szCs w:val="48"/>
        </w:rPr>
        <w:t xml:space="preserve">福州软件职业技术学院</w:t>
      </w:r>
    </w:p>
    <w:p>
      <w:pPr>
        <w:spacing w:after="200" w:before="400"/>
        <w:jc w:val="center"/>
      </w:pPr>
      <w:r>
        <w:rPr>
          <w:rFonts w:ascii="Arial" w:eastAsia="SimHei" w:hAnsi="Arial"/>
          <w:b/>
          <w:bCs/>
          <w:color w:val="000000"/>
          <w:sz w:val="56"/>
          <w:szCs w:val="56"/>
        </w:rPr>
        <w:t xml:space="preserve">“十五五”事业发展规划</w:t>
      </w:r>
    </w:p>
    <w:p>
      <w:pPr>
        <w:spacing w:after="200" w:before="200"/>
        <w:jc w:val="center"/>
      </w:pPr>
      <w:r>
        <w:rPr>
          <w:rFonts w:ascii="Arial" w:eastAsia="SimHei" w:hAnsi="Arial"/>
          <w:b/>
          <w:bCs/>
          <w:color w:val="000000"/>
          <w:sz w:val="34"/>
          <w:szCs w:val="34"/>
        </w:rPr>
        <w:t xml:space="preserve">（2026—2030年）</w:t>
      </w:r>
    </w:p>
    <w:p>
      <w:pPr>
        <w:spacing w:before="3200"/>
        <w:jc w:val="center"/>
      </w:pPr>
      <w:r>
        <w:rPr>
          <w:rFonts w:ascii="Times New Roman" w:eastAsia="SimSun" w:hAnsi="Times New Roman"/>
          <w:b w:val="false"/>
          <w:bCs w:val="false"/>
          <w:color w:val="000000"/>
          <w:sz w:val="28"/>
          <w:szCs w:val="28"/>
        </w:rPr>
        <w:t xml:space="preserve">二〇二六年一月</w:t>
      </w:r>
    </w:p>
    <w:p>
      <w:r>
        <w:br w:type="page"/>
      </w: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编制说明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本规划依据国家关于职业教育改革发展的部署，结合学校办学基础、专业特色和未来发展需要编制，规划期为2026—2030年，2025年为基线年。规划坚持目标导向与问题导向相统一、整体推进与重点突破相统一、年度安排与五年目标相统一，是学校安排年度重点工作、配置办学资源和开展监测评价的重要依据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规划正文设置八个建设板块，逐一明确建设目标、主要任务以及2026—2030年各年度重点推进任务、预期成果和考核指标。附表1列出13项A类核心指标年度目标，附表2列出63条B+任务分解，附表3统一统计口径。正文、附表与五年计划指标管理平台中的规划目标采用同一数据源，平台中的实际完成值属于运行监测数据，不改变本规划确定的目标值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规划实施过程中，如遇政策环境、产业需求或办学条件发生重大变化，确需调整目标或年度任务的，应按照学校规划管理制度履行论证和审批程序，并保持总体规划目标、A类指标、A+指标与B+任务之间的衔接。</w:t>
      </w: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一、发展基础与面临形势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（一）发展基础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学校坚持社会主义办学方向，落实立德树人根本任务，围绕数字技术相关产业领域开展技术技能人才培养，已形成以软件技术、数字媒体、大数据、数字金融、游戏设计、智能建造、现代通信等专业为重要支撑的办学格局。专业教学、实践训练、校企合作和学生竞赛具备一定基础，为学校进一步推进内涵建设提供了条件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学校持续推进内部管理、教学条件、师资队伍和校园文化建设，各学院在专业教学与行业联系方面逐步形成自身特点。校办公室及各职能部门在综合协调、教学管理、师资管理、学生服务、资产保障和信息化建设等方面承担着重要职责，为规划任务按年度分解、按责任落实提供了组织基础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（二）面临形势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新一轮科技革命和产业变革深入发展，人工智能、大数据、云计算等技术加速融入生产生活，企业对技术技能人才的数字素养、实践能力、协作能力和持续学习能力提出更高要求。职业教育更加重视类型特色、产教融合和人才培养质量，学校需要把产业需求变化及时转化为专业、课程、师资和实训条件建设任务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同时，办学资源约束、教育数字化转型、学生多样化发展需求和就业质量要求，对学校治理效能与资源配置提出更高标准。学校必须坚持以质量为核心，不盲目追求规模扩张，以可落地、可核验的项目和指标推动重点改革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（三）主要问题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对照高质量发展要求，学校仍需在以下方面持续改进：制度执行与跨部门流程协同有待加强，专业设置与产业需求的动态衔接机制需要完善；双师型教师比例和实践教学能力仍需提升，课程、教材、竞赛与岗位要求的融合深度不足；横向技术服务和培训品牌影响力有待增强，文化育人项目的持续性和评价机制需要健全；实训条件、数据治理和业务系统协同仍需改善，国（境）外合作应更加注重实质成果与质量效益。</w:t>
      </w: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二、总体要求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（一）指导思想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坚持以习近平新时代中国特色社会主义思想为指导，全面贯彻党的教育方针，落实立德树人根本任务，遵循职业教育规律和技术技能人才成长规律，以服务学生全面发展和区域经济社会需求为导向，以人才培养质量提升为中心，以专业建设为龙头，以师资队伍为关键，以产教融合为路径，以治理改革和数字赋能为支撑，扎实推进学校内涵式、特色化、可持续发展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（二）基本原则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坚持育人为本、德育为先，把价值塑造、知识传授和能力培养融为一体；坚持需求导向、特色发展，根据产业变化和学校条件优化专业布局；坚持引育并举、实践导向，提升教师教书育人和技术实践能力；坚持项目牵引、分年实施，将五年目标细化为年度任务和可核验成果；坚持统筹资源、注重绩效，强化预算、建设、使用与评价衔接；坚持依法依规、风险可控，保障教学、数据、网络和对外合作安全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（三）发展定位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立足学校现有办学基础，突出数字技术类专业特色，面向区域数字产业和现代服务业培养具有良好职业道德、扎实专业基础、较强实践能力和持续发展能力的高素质技术技能人才。通过五年建设，使学校专业结构与产业需求更加适配，教师实践教学能力明显增强，技术服务和培训能力稳步提升，办学条件与治理水平有效改善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（四）总体目标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到2030年，学校治理制度和质量保证机制更加健全，专业动态调整与数字化改造形成常态，双师型教师队伍建设达到规划目标，人才培养质量和用人单位认可度持续提升，科研与社会服务对企业和教学的支撑作用进一步增强，校园文化品牌与实践育人项目形成特色，办学条件和智慧校园建设满足教学发展需要，国（境）外交流合作实现质量与数量协调推进。各项量化目标按附表1执行，责任分解按附表2落实。</w:t>
      </w:r>
    </w:p>
    <w:p>
      <w:pPr>
        <w:pStyle w:val="Heading1"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三、重点建设任务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八个建设板块均按“建设目标—主要任务—年度推进安排”组织实施。年度考核指标为相应年度应达到的目标值，具体任务分工和统计认定规则分别见附表2、附表3。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（一）坚持内涵发展，完善现代学校治理体系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1. 建设目标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坚持依法治校、民主管理和质量立校，完善以学校章程为统领的制度体系，形成职责清晰、运行规范、监督有效的治理机制。到2030年，累计完成内部治理与质量保障任务40项；2029年完成内部质量保证体系建设、运行取证和校级复核，持续提升学校治理规范化、精细化水平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2. 主要任务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1. 完善制度与决策运行机制。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加强学校章程配套制度建设，规范重大事项论证、决策、执行和反馈程序，健全学术组织、教职工代表和学生代表参与治理的渠道。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2. 推进管理流程优化。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围绕教学、人事、财务、采购、合同、档案等重点事项梳理权责边界，减少重复流转，完善内控风险防范和督办闭环。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3. 健全内部质量保证体系。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以专业、课程、教师、学生发展和管理服务为重点，常态化开展诊断与改进，形成目标、标准、实施、监测、反馈、改进相衔接的质量闭环。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4. 强化数据支撑与执行评价。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明确数据质量责任，运用规划指标平台开展年度监测、中期评估和期满评价，将评价结果用于制度修订与资源配置。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 2026—2030年度推进安排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650"/>
        <w:gridCol w:w="3600"/>
        <w:gridCol w:w="2450"/>
        <w:gridCol w:w="2800"/>
      </w:tblGrid>
      <w:tr>
        <w:trPr>
          <w:cantSplit/>
          <w:tblHeader/>
        </w:trPr>
        <w:tc>
          <w:tcPr>
            <w:tcW w:type="dxa" w:w="6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年度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重点推进任务</w:t>
            </w:r>
          </w:p>
        </w:tc>
        <w:tc>
          <w:tcPr>
            <w:tcW w:type="dxa" w:w="24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预期成果</w:t>
            </w:r>
          </w:p>
        </w:tc>
        <w:tc>
          <w:tcPr>
            <w:tcW w:type="dxa" w:w="28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考核指标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开展制度和业务流程全面梳理，重点完善议事决策、合同采购、督办反馈等制度，启动校级教学诊改和相关学院专项整改。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形成制度清单、流程清单和诊改问题台账，明确责任主体、办理时限及验收要求。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A01：内部治理与质量保障任务完成数达到9项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2027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组织制度执行情况检查，优化跨部门协同流程，持续开展专业课程、实践教学和管理服务诊改，跟踪上年度问题销号。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制度执行与业务运行衔接更加顺畅，年度诊改任务形成整改、复核、反馈闭环。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A01：内部治理与质量保障任务完成数达到8项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2028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结合规划中期评估开展治理效能分析，重点改进内控、数据质量和教学监测机制，对共性问题组织跨部门流程再造。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形成中期治理评估结论和整改清单，制度供给与学校发展需求进一步匹配。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A01：内部治理与质量保障任务完成数达到8项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2029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完成内部质量保证体系整体运行取证和校级复核，系统检查各层级目标标准、监测预警和改进机制，集中整改复核发现的问题。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内部质量保证体系通过校级复核，治理与质量保障工作形成可持续运行机制。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A01：内部治理与质量保障任务完成数达到8项；A02：内部质量保证体系建成并通过校级复核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2030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开展制度体系和质量保证体系期满评价，清理失效制度、固化有效做法，复核遗留问题并衔接下一规划周期。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形成规划期治理建设总结和制度成果汇编，未闭环事项全部明确后续安排。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A01：内部治理与质量保障任务完成数达到7项</w:t>
            </w:r>
          </w:p>
        </w:tc>
      </w:tr>
    </w:tbl>
    <w:p>
      <w:pPr>
        <w:pStyle w:val="Heading2"/>
        <w:pageBreakBefore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（二）优化专业布局，增强产业适配能力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1. 建设目标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主动对接数字经济和区域产业发展需求，坚持规模适度、结构合理、特色发展，健全专业设置随产业需求动态调整的机制。五年累计完成专业设置优化与数字化改造项目20个，推动课程内容、实训条件与岗位能力要求有效衔接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2. 主要任务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1. 建立专业动态调整机制。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定期开展产业人才需求、招生就业、培养质量和办学条件分析，规范专业新设、预警、停招撤并和方向调整的论证程序。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2. 推进专业数字化改造。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将数字技术、人工智能工具应用和真实生产项目融入人才培养方案，更新课程标准、教学内容和考核方式。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3. 加强专业群协同建设。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围绕相关产业链和岗位群推动专业间课程互选、师资共享、实训共用，避免低水平重复建设。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4. 深化校企共同育人。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吸收行业企业参与专业论证、课程开发和培养质量评价，以岗位标准、技术规范和项目案例提升专业适配度。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 2026—2030年度推进安排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650"/>
        <w:gridCol w:w="3600"/>
        <w:gridCol w:w="2450"/>
        <w:gridCol w:w="2800"/>
      </w:tblGrid>
      <w:tr>
        <w:trPr>
          <w:cantSplit/>
          <w:tblHeader/>
        </w:trPr>
        <w:tc>
          <w:tcPr>
            <w:tcW w:type="dxa" w:w="6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年度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重点推进任务</w:t>
            </w:r>
          </w:p>
        </w:tc>
        <w:tc>
          <w:tcPr>
            <w:tcW w:type="dxa" w:w="24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预期成果</w:t>
            </w:r>
          </w:p>
        </w:tc>
        <w:tc>
          <w:tcPr>
            <w:tcW w:type="dxa" w:w="28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考核指标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开展产业需求和专业办学状态调研，建立专业建设档案，组织首批专业新设、方向调整或人才培养方案数字化改造论证。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形成专业布局分析报告和分类建设台账，首批改造项目通过学校验收。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A03：专业设置优化与数字化改造项目完成数达到4个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2027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依据招生就业和培养质量反馈调整专业结构，推进课程内容与技术岗位标准衔接，完善专业群共享课程和实训资源。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专业调整依据更加充分，第二批改造项目完成验收并形成可应用成果。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A03：专业设置优化与数字化改造项目完成数达到4个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2028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开展专业建设中期评价，重点检查课程设置、师资配置、实训条件和毕业去向，对适配度不足的专业实施整改。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形成专业建设中期评价报告，年度优化改造任务与整改工作同步完成。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A03：专业设置优化与数字化改造项目完成数达到4个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2029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围绕产业技术变化优化专业方向和课程模块，加强薄弱专业诊断，推进成熟项目成果在相关专业群中共享。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专业结构与产业需求衔接更加紧密，第四批改造项目落地应用。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A03：专业设置优化与数字化改造项目完成数达到4个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2030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组织专业建设期满评价和项目验收，系统总结动态调整与数字化改造成效，提出下一周期专业布局优化建议。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完成20个项目的五年建设目标，形成专业设置与产业需求联动调整的长效机制。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A03：专业设置优化与数字化改造项目完成数达到4个</w:t>
            </w:r>
          </w:p>
        </w:tc>
      </w:tr>
    </w:tbl>
    <w:p>
      <w:pPr>
        <w:pStyle w:val="Heading2"/>
        <w:pageBreakBefore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（三）强化引育结合，提升双师队伍素质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1. 建设目标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坚持师德师风第一标准，统筹推进教师引进、培养、实践和评价，重点提升专业课教师理论教学与实践指导能力。专业课双师型教师占比由2026年的55%稳步提高到2030年的70%，形成数量基本充足、结构逐步优化、专兼结合的教师队伍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2. 主要任务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1. 完善教师引进与配置。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依据专业布局和教学任务编制师资需求计划，重点补充紧缺专业教师，规范行业企业兼职教师聘任与教学管理。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2. 健全双师素质培养机制。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落实教师企业实践、岗位研修和技能提升要求，推动教师参与真实项目、技术服务和实践课程开发。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3. 规范双师型认定与复核。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统一认定标准、材料要求和有效期管理，建立教师名册、认定文件与实践成果相互印证的档案。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4. 促进教师持续发展。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完善分层分类培训、教学团队协作和教师评价机制，把师德表现、育人实绩、实践能力和服务质量纳入综合评价。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 2026—2030年度推进安排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650"/>
        <w:gridCol w:w="3600"/>
        <w:gridCol w:w="2450"/>
        <w:gridCol w:w="2800"/>
      </w:tblGrid>
      <w:tr>
        <w:trPr>
          <w:cantSplit/>
          <w:tblHeader/>
        </w:trPr>
        <w:tc>
          <w:tcPr>
            <w:tcW w:type="dxa" w:w="6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年度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重点推进任务</w:t>
            </w:r>
          </w:p>
        </w:tc>
        <w:tc>
          <w:tcPr>
            <w:tcW w:type="dxa" w:w="24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预期成果</w:t>
            </w:r>
          </w:p>
        </w:tc>
        <w:tc>
          <w:tcPr>
            <w:tcW w:type="dxa" w:w="28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考核指标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摸清专业课教师数量、结构和实践经历，修订双师型教师认定与培养安排，组织企业实践、技能研修和材料归档。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建立专业课教师与双师型教师基础台账，年度认定材料真实完整，占比达到55%。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A04：专业课双师型教师占比达到55%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2027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针对专业紧缺能力开展分层培训和企业实践，推动教师将实践项目转化为课程案例，规范新增认定与到期复核。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教师实践成果进入课堂教学，双师培养与认定衔接更加顺畅，占比达到58%。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A04：专业课双师型教师占比达到58%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2028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开展师资队伍建设中期检查，对占比偏低或结构不合理的教学单位制定改进措施，加强教学团队和企业导师协同。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形成中期师资分析报告和补齐清单，双师型教师占比达到62%。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A04：专业课双师型教师占比达到62%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2029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深化教师参与企业项目和技术服务，组织双师素质成果交流、教学能力评价及认定复核，提升实践教学有效性。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教师实践教学能力持续增强，形成一批可核验的培养成果，占比达到66%。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A04：专业课双师型教师占比达到66%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2030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开展五年师资建设成效评价和双师型教师资格复核，总结培养、引进、实践和评价经验，完善持续发展的制度安排。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双师型教师档案完整、认定规范，专业课双师型教师占比达到70%。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A04：专业课双师型教师占比达到70%</w:t>
            </w:r>
          </w:p>
        </w:tc>
      </w:tr>
    </w:tbl>
    <w:p>
      <w:pPr>
        <w:pStyle w:val="Heading2"/>
        <w:pageBreakBefore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（四）深化教学改革，提高人才培养质量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1. 建设目标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落实立德树人根本任务，突出学生职业素养、实践能力和可持续发展能力培养。五年累计获得学生省级以上职业技能竞赛奖励120项，开发并投入使用校企合作教材30部；用人单位满意度由2025年基线84%提升至2030年的90%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2. 主要任务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1. 完善德技并修培养体系。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将思想政治教育、职业道德、劳动教育和创新创业教育贯穿人才培养全过程，强化学生社会责任和规则意识。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2. 深化课程与课堂教学改革。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以真实工作任务和项目为载体更新课程内容，推进岗课赛证综合育人，完善过程性评价和实践能力考核。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3. 加强竞赛与教材建设。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健全校赛选拔、省赛训练和成果反哺教学机制，组织校企共同开发贴近生产实际、形态多样的教材并跟踪使用效果。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4. 健全就业质量反馈机制。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规范用人单位调查、毕业生跟踪和实习就业反馈，保护样本信息，依据反馈改进专业教学和学生指导。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 2026—2030年度推进安排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650"/>
        <w:gridCol w:w="3600"/>
        <w:gridCol w:w="2450"/>
        <w:gridCol w:w="2800"/>
      </w:tblGrid>
      <w:tr>
        <w:trPr>
          <w:cantSplit/>
          <w:tblHeader/>
        </w:trPr>
        <w:tc>
          <w:tcPr>
            <w:tcW w:type="dxa" w:w="6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年度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重点推进任务</w:t>
            </w:r>
          </w:p>
        </w:tc>
        <w:tc>
          <w:tcPr>
            <w:tcW w:type="dxa" w:w="24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预期成果</w:t>
            </w:r>
          </w:p>
        </w:tc>
        <w:tc>
          <w:tcPr>
            <w:tcW w:type="dxa" w:w="28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考核指标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修订人才培养方案和课程考核要求，建立竞赛项目梯队与训练台账，遴选首批校企教材项目，规范开展用人单位调查。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竞赛训练、教材开发和就业质量反馈均形成工作闭环，完成年度竞赛、教材和满意度目标。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A05：学生省级以上职业技能竞赛获奖数达到18项；A06：校企合作开发教材数达到4部；A07：用人单位满意度达到85%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2027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推进项目化课程和岗位实践教学，完善校赛选拔与省赛训练衔接，组织教材编写、试用和修改，反馈用人单位意见。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课程学习与岗位任务联系更加紧密，教材成果进入教学试用，年度培养质量指标稳步提升。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A05：学生省级以上职业技能竞赛获奖数达到21项；A06：校企合作开发教材数达到5部；A07：用人单位满意度达到86%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2028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开展人才培养质量中期检查，分析竞赛成绩、课程评价、实习表现和就业反馈，组织教材验收及使用效果评价。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形成中期质量分析报告，薄弱课程和培养环节明确整改措施，完成年度各项目标。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A05：学生省级以上职业技能竞赛获奖数达到24项；A06：校企合作开发教材数达到6部；A07：用人单位满意度达到88%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2029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加强高水平赛项培育和优秀成果推广，更新教材中的技术规范与项目案例，针对用人单位反馈开展专项改进。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竞赛成果有效反哺课堂，教材适用性和用人单位认可度持续提高。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A05：学生省级以上职业技能竞赛获奖数达到27项；A06：校企合作开发教材数达到7部；A07：用人单位满意度达到89%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2030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组织人才培养成果期满验收，总结竞赛、教材、课程和就业反馈改进经验，遴选可推广成果并衔接后续建设。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五年竞赛和教材任务全面完成，用人单位满意度达到90%，质量改进机制稳定运行。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A05：学生省级以上职业技能竞赛获奖数达到30项；A06：校企合作开发教材数达到8部；A07：用人单位满意度达到90%</w:t>
            </w:r>
          </w:p>
        </w:tc>
      </w:tr>
    </w:tbl>
    <w:p>
      <w:pPr>
        <w:pStyle w:val="Heading2"/>
        <w:pageBreakBefore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（五）推动科研创新，拓展社会服务成效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1. 建设目标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立足应用型技术技能人才培养定位，面向企业数字化改造和员工能力提升开展技术服务与社会培训。五年累计实现企业横向技术服务实际到款600万元；社会培训服务规模以2025年2400人次为基线，到2030年达到3600人次，五年增长50%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2. 主要任务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1. 聚焦应用技术服务。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围绕软件开发、数据治理、数字内容制作、智能建造和通信运维等方向组织技术服务，突出解决企业实际问题。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2. 规范横向项目全过程管理。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完善合同审核、任务分工、经费使用、成果验收和到账登记，做到合同、成果与财务凭证相互印证。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3. 开发模块化培训项目。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面向企业职工、社会学习者和社区需求开发分层培训内容，规范招生、考勤、考核、结业和满意度反馈。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4. 促进成果转化与教学融合。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将技术服务案例和培训资源转化为课程内容、实训项目和教师实践成果，提升科研社会服务对人才培养的支撑作用。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 2026—2030年度推进安排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650"/>
        <w:gridCol w:w="3600"/>
        <w:gridCol w:w="2450"/>
        <w:gridCol w:w="2800"/>
      </w:tblGrid>
      <w:tr>
        <w:trPr>
          <w:cantSplit/>
          <w:tblHeader/>
        </w:trPr>
        <w:tc>
          <w:tcPr>
            <w:tcW w:type="dxa" w:w="6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年度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重点推进任务</w:t>
            </w:r>
          </w:p>
        </w:tc>
        <w:tc>
          <w:tcPr>
            <w:tcW w:type="dxa" w:w="24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预期成果</w:t>
            </w:r>
          </w:p>
        </w:tc>
        <w:tc>
          <w:tcPr>
            <w:tcW w:type="dxa" w:w="28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考核指标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梳理技术服务能力和培训资源，发布服务目录，建立横向项目合同、成果、到款及培训人员台账，实施首批项目。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形成科研与社会服务基础清单和规范台账，完成80万元到款及2640人次培训服务。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A08：企业横向技术服务到款额达到80万元；A09：社会培训服务规模达到2640人次，较2025年基线增长10%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2027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拓展稳定合作企业，完善技术项目进度和成本管理，开发模块化培训课程并加强培训质量跟踪。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合作项目实施更加规范，培训内容与实际需求衔接增强，年度服务规模稳步扩大。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A08：企业横向技术服务到款额达到100万元；A09：社会培训服务规模达到2820人次，较2025年基线增长17.5%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2028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开展科研与社会服务中期评价，检查项目成果应用、实际到款和培训实效，推动成熟技术成果在合作企业应用。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形成中期绩效分析和项目整改清单，完成120万元到款及3060人次培训服务。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A08：企业横向技术服务到款额达到120万元；A09：社会培训服务规模达到3060人次，较2025年基线增长27.5%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2029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组织跨专业技术服务团队承接综合项目，强化成果验收和效益反馈，拓展企业在职人员与社区培训。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技术服务协同能力和培训覆盖面持续提升，项目质量与服务规模同步增长。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A08：企业横向技术服务到款额达到140万元；A09：社会培训服务规模达到3300人次，较2025年基线增长37.5%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2030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完成横向项目和培训项目期满验收，核查到账及人员记录，总结典型案例并建立后续合作项目储备。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五年横向技术服务到款累计达到600万元，2030年培训达到3600人次，较基线增长50%。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A08：企业横向技术服务到款额达到160万元；A09：社会培训服务规模达到3600人次，较2025年基线增长50%</w:t>
            </w:r>
          </w:p>
        </w:tc>
      </w:tr>
    </w:tbl>
    <w:p>
      <w:pPr>
        <w:pStyle w:val="Heading2"/>
        <w:pageBreakBefore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（六）坚持文化育人，建设文明和谐校园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1. 建设目标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以社会主义核心价值观引领校园文化建设，推动校训精神、职业精神、专业文化与学生活动相融合。五年累计完成校园文化品牌与实践育人项目50项，形成项目有方案、实施有记录、成果有评价、优秀项目可持续的文化育人机制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2. 主要任务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1. 加强价值引领和校风建设。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将理想信念、职业道德、诚信法治和劳动精神融入主题教育、日常管理与师生行为养成。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2. 培育特色文化品牌。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支持各学院结合专业特点培育文化、科技、艺术和社团项目，避免重形式轻实效和常规活动重复认定。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3. 拓展实践育人载体。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组织志愿服务、社区服务、劳动教育和学生社区活动，引导学生在真实服务中增强责任意识与合作能力。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4. 完善项目评价与传播。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建立项目立项、实施、总结和成果展示机制，重视学生参与度和实际收获，推动优秀项目持续迭代。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 2026—2030年度推进安排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650"/>
        <w:gridCol w:w="3600"/>
        <w:gridCol w:w="2450"/>
        <w:gridCol w:w="2800"/>
      </w:tblGrid>
      <w:tr>
        <w:trPr>
          <w:cantSplit/>
          <w:tblHeader/>
        </w:trPr>
        <w:tc>
          <w:tcPr>
            <w:tcW w:type="dxa" w:w="6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年度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重点推进任务</w:t>
            </w:r>
          </w:p>
        </w:tc>
        <w:tc>
          <w:tcPr>
            <w:tcW w:type="dxa" w:w="24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预期成果</w:t>
            </w:r>
          </w:p>
        </w:tc>
        <w:tc>
          <w:tcPr>
            <w:tcW w:type="dxa" w:w="28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考核指标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制定校园文化项目建设计划和认定标准，建立项目库，组织首批文化品牌、志愿服务、劳动教育和社团项目建设。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形成年度项目清单和过程记录规范，完成8项并通过总结评价。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A10：校园文化品牌与实践育人项目完成数达到8项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2027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支持各学院结合专业特色培育文化项目，完善学生参与和志愿服务记录，推广首批项目中的成熟做法。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学院特色项目逐步成形，项目育人成效可记录、可评价，完成9项。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A10：校园文化品牌与实践育人项目完成数达到9项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2028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开展校园文化建设中期评估，加强网络文化、学生社区和实践育人协同，对参与度不足的项目进行调整。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形成中期项目评价和优化清单，文化育人资源进一步整合，完成10项。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A10：校园文化品牌与实践育人项目完成数达到10项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2029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组织优秀项目展示交流和跨学院合作，深化劳动教育、志愿服务与专业实践融合，提升项目质量。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形成一批具有示范性的校园文化成果，项目吸引力和持续实施能力增强，完成11项。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A10：校园文化品牌与实践育人项目完成数达到11项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2030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开展五年文化育人项目期满评价，遴选优秀案例、固化品牌项目，完善下一周期项目建设与传承安排。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五年累计完成50项，形成校园文化品牌案例集和常态化项目运行机制。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A10：校园文化品牌与实践育人项目完成数达到12项</w:t>
            </w:r>
          </w:p>
        </w:tc>
      </w:tr>
    </w:tbl>
    <w:p>
      <w:pPr>
        <w:pStyle w:val="Heading2"/>
        <w:pageBreakBefore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（七）改善办学条件，推进智慧校园建设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1. 建设目标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坚持教学需求导向、量力而行和安全可控，统筹推进教学空间、实训条件、网络基础、数据治理和业务系统建设。五年累计完成办学条件与智慧校园重点项目30项；校内实训工位以2025年3200个为基线，到2030年达到4000个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2. 主要任务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1. 改善教学与实训条件。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依据专业建设和课程实施需要分年度安排教学空间改造、实训环境改善和设备更新，强化项目验收与使用评价。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2. 推进业务系统与数据治理。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统一基础数据标准和责任分工，推动教学、学生、资产、财务等业务协同，减少重复采集和信息孤岛。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3. 提升智慧教学与管理能力。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完善网络基础设施和数字教学环境，为教学监测、规划管理和师生服务提供可靠数据支撑。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4. 守牢网络与资产安全底线。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落实网络安全、数据备份、权限管理和个人信息保护要求，健全资产台账、运行维护和工位使用效率评价。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 2026—2030年度推进安排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650"/>
        <w:gridCol w:w="3600"/>
        <w:gridCol w:w="2450"/>
        <w:gridCol w:w="2800"/>
      </w:tblGrid>
      <w:tr>
        <w:trPr>
          <w:cantSplit/>
          <w:tblHeader/>
        </w:trPr>
        <w:tc>
          <w:tcPr>
            <w:tcW w:type="dxa" w:w="6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年度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重点推进任务</w:t>
            </w:r>
          </w:p>
        </w:tc>
        <w:tc>
          <w:tcPr>
            <w:tcW w:type="dxa" w:w="24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预期成果</w:t>
            </w:r>
          </w:p>
        </w:tc>
        <w:tc>
          <w:tcPr>
            <w:tcW w:type="dxa" w:w="28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考核指标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开展教学空间、实训工位、网络与系统现状排查，编制年度项目清单和数据标准，优先实施影响教学运行的改造项目。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形成资产与工位台账、项目验收和数据责任清单，完成5项重点项目，实训工位达到3400个。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A11：办学条件与智慧校园重点项目完成数达到5项；A12：校内实训工位规模达到3400个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2027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推进智慧教学环境和实训条件改善，优化高频业务流程，完善系统权限、数据备份和运行维护机制。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教学与管理服务便利性提升，年度项目按期投用，实训工位达到3550个。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A11：办学条件与智慧校园重点项目完成数达到5项；A12：校内实训工位规模达到3550个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2028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结合中期评估检查工位使用率和系统运行效果，开展数据质量治理和业务系统升级，补齐共享实训资源短板。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形成建设与使用效益评价报告，完成6项重点项目，实训工位达到3720个。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A11：办学条件与智慧校园重点项目完成数达到6项；A12：校内实训工位规模达到3720个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2029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围绕专业发展需求实施重点补齐项目，完善教学运行与规划监测数据展示，开展网络安全和数据安全检查。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办学条件与专业教学需求更加匹配，完成7项重点项目，实训工位达到3860个。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A11：办学条件与智慧校园重点项目完成数达到7项；A12：校内实训工位规模达到3860个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2030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组织重点项目和实训条件期满验收，评价工位利用、系统使用和运维保障情况，建立设施更新与持续运维安排。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五年累计完成30项重点项目，校内可用实训工位达到4000个，智慧校园运行管理更加规范。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A11：办学条件与智慧校园重点项目完成数达到7项；A12：校内实训工位规模达到4000个</w:t>
            </w:r>
          </w:p>
        </w:tc>
      </w:tr>
    </w:tbl>
    <w:p>
      <w:pPr>
        <w:pStyle w:val="Heading2"/>
        <w:pageBreakBefore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（八）拓展交流合作，稳步提升开放水平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1. 建设目标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坚持质量优先、稳步开放、安全规范，结合学校专业特色和师生发展需要开展国（境）外交流与合作。五年累计完成具有实质活动与成果的交流项目12项，重点推进校际交流、师生研修、课程资源引进和文化交流，不以签署意向书代替实际项目成果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2. 主要任务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1. 完善合作项目遴选与管理。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建立合作对象评估、项目论证、协议审核、经费与安全保障、过程记录和成果评价制度。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2. 推进师生交流与教师研修。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根据实际条件采用线上线下相结合的方式开展教学方法、专业课程和职业发展交流，扩大教师学习成果辐射。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3. 引进优质课程与文化资源。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围绕优势专业引进适用的课程案例、讲座和教学资源，做好内容审核、本地化改造与知识产权管理。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4. 强化项目成果评价。</w:t>
      </w: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以实际活动、参与记录、课程或研修成果和项目总结作为认定依据，及时评估成效并控制合作风险。</w:t>
      </w:r>
    </w:p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3. 2026—2030年度推进安排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650"/>
        <w:gridCol w:w="3600"/>
        <w:gridCol w:w="2450"/>
        <w:gridCol w:w="2800"/>
      </w:tblGrid>
      <w:tr>
        <w:trPr>
          <w:cantSplit/>
          <w:tblHeader/>
        </w:trPr>
        <w:tc>
          <w:tcPr>
            <w:tcW w:type="dxa" w:w="6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年度</w:t>
            </w:r>
          </w:p>
        </w:tc>
        <w:tc>
          <w:tcPr>
            <w:tcW w:type="dxa" w:w="3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重点推进任务</w:t>
            </w:r>
          </w:p>
        </w:tc>
        <w:tc>
          <w:tcPr>
            <w:tcW w:type="dxa" w:w="24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预期成果</w:t>
            </w:r>
          </w:p>
        </w:tc>
        <w:tc>
          <w:tcPr>
            <w:tcW w:type="dxa" w:w="28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考核指标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2026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制定交流合作项目管理和风险审查流程，筛选适配的合作对象，优先实施具备明确成果要求的交流或研修项目。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形成合作项目储备和实施规范，完成1项具有实际活动记录与成果总结的项目。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A13：国（境）外交流与合作项目完成数达到1项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2027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围绕专业教学开展教师研修、线上校际交流或课程资源引进，组织参与教师分享学习成果。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合作内容和专业建设结合更加紧密，完成2项并形成可应用的研修或课程成果。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A13：国（境）外交流与合作项目完成数达到2项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2028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开展合作质量中期评估，优化项目选择和协议管理，推进文化交流、联合讲座及课程资源本地化应用。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形成合作项目中评报告和风险整改清单，完成2项，项目过程材料完整。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A13：国（境）外交流与合作项目完成数达到2项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2029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在条件成熟的基础上拓展师生交流与联合教学活动，加强项目实施安全管理和成果评价。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交流形式更加多样，师生参与和成果产出真实可核验，完成3项。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A13：国（境）外交流与合作项目完成数达到3项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2030</w:t>
            </w:r>
          </w:p>
        </w:tc>
        <w:tc>
          <w:tcPr>
            <w:tcW w:type="dxa" w:w="3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组织五年合作项目期满评价，巩固成效稳定的合作关系，总结课程、研修和文化交流成果并规划后续合作。</w:t>
            </w:r>
          </w:p>
        </w:tc>
        <w:tc>
          <w:tcPr>
            <w:tcW w:type="dxa" w:w="2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五年累计完成12项，形成项目成果档案和持续合作、动态退出相结合的管理机制。</w:t>
            </w:r>
          </w:p>
        </w:tc>
        <w:tc>
          <w:tcPr>
            <w:tcW w:type="dxa" w:w="2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A13：国（境）外交流与合作项目完成数达到4项</w:t>
            </w:r>
          </w:p>
        </w:tc>
      </w:tr>
    </w:tbl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四、实施保障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（一）加强组织领导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建立学校统筹、职能部门协同、学院具体实施的规划推进机制。学校研究解决规划实施中的重大问题和跨部门事项，相关职能部门依据职责做好业务指导、资源协调和过程监督，各执行单元将任务落实到岗、责任到人。涉及多个单位的项目，由牵头单位明确协同关系和成果归属，避免重复建设或责任空转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（二）强化年度衔接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将规划年度任务与学校年度工作要点、预算安排、项目库建设和绩效考核相衔接。每年初根据附表目标细化实施方案，明确进度节点、经费条件、成果形式和佐证材料；年中检查任务进展，及时解决执行困难；年末依据统一口径核验成果。2028年开展规划中期评估，2030年开展期满评价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（三）保障资源投入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坚持量入为出、突出重点、注重绩效，优先保障人才培养、师资发展、实训条件和教学运行所需项目。建设项目应履行立项、预算、采购、验收和资产管理程序，既检查项目是否完成，也评价投入使用后的实际效益。对校企合作项目依法明确双方权责、成果归属和经费要求，不以合作协议替代实际到款或成果验收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（四）规范监测与调整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依托五年计划指标管理平台建立目标分解、填报、审核、汇总、预警和核算闭环。只有审核通过且佐证材料完整的数据方可计入完成值；比率、存量、增长率等指标严格按照附表3计算，不得简单平均或重复累计。确需调整任务的，应论证必要性、可行性和总量影响，经规定程序审批后实施，并保留调整前后记录。</w:t>
      </w: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（五）严格考核问责</w:t>
      </w:r>
    </w:p>
    <w:p>
      <w:pPr>
        <w:spacing w:after="10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将规划完成情况作为相关部门和学院年度工作评价的重要依据，既评价数量和进度，也评价质量、效益与规范性。对进度滞后的任务及时预警并制定改进措施；对数据不实、材料不全或重复认定的，不予计入完成值并督促整改。对实施中形成的有效做法及时制度化，对不具备实施条件的项目按程序优化，确保规划严肃性与可执行性相统一。</w:t>
      </w: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附表1：核心指标2026—2030年年度目标</w:t>
      </w:r>
    </w:p>
    <w:p>
      <w:pPr>
        <w:spacing w:after="10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本表共13项A类核心指标，包括约束性和发展性指标。增量累计型指标的五年目标为各年度目标之和；占比型、直填百分比型、存量时点型、增长率型和是否型指标按各自口径理解，不作简单求和。</w:t>
      </w:r>
    </w:p>
    <w:p>
      <w:pPr>
        <w:spacing w:after="40"/>
      </w:pP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650"/>
        <w:gridCol w:w="2400"/>
        <w:gridCol w:w="550"/>
        <w:gridCol w:w="750"/>
        <w:gridCol w:w="750"/>
        <w:gridCol w:w="750"/>
        <w:gridCol w:w="750"/>
        <w:gridCol w:w="750"/>
        <w:gridCol w:w="2150"/>
      </w:tblGrid>
      <w:tr>
        <w:trPr>
          <w:cantSplit/>
          <w:tblHeader/>
        </w:trPr>
        <w:tc>
          <w:tcPr>
            <w:tcW w:type="dxa" w:w="6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指标编号</w:t>
            </w:r>
          </w:p>
        </w:tc>
        <w:tc>
          <w:tcPr>
            <w:tcW w:type="dxa" w:w="24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指标名称</w:t>
            </w:r>
          </w:p>
        </w:tc>
        <w:tc>
          <w:tcPr>
            <w:tcW w:type="dxa" w:w="5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单位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21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A01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内部治理与质量保障任务完成数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（约束性）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项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40项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A02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内部质量保证体系建成并通过校级复核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（约束性）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项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完成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2029年完成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A03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专业设置优化与数字化改造项目完成数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（发展性）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个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20个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A04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专业课双师型教师占比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（约束性）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%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55%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58%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A05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学生省级以上职业技能竞赛获奖数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（发展性）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项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120项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A06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校企合作开发教材数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（发展性）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部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30部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A07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用人单位满意度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（发展性）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%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85%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86%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88%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89%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A08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企业横向技术服务到款额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（发展性）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万元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80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100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120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140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160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600万元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A09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社会培训服务规模增长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（发展性）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人次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2640（+10%）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2820（+17.5%）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3060（+27.5%）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3300（+37.5%）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3600（+50%）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3600人次（较基线增长50%）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A10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校园文化品牌与实践育人项目完成数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（发展性）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项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50项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A11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办学条件与智慧校园重点项目完成数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（约束性）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项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30项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A12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校内实训工位规模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（约束性）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个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3400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3550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3720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3860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4000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4000个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A13</w:t>
            </w:r>
          </w:p>
        </w:tc>
        <w:tc>
          <w:tcPr>
            <w:tcW w:type="dxa" w:w="24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国（境）外交流与合作项目完成数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（发展性）</w:t>
            </w:r>
          </w:p>
        </w:tc>
        <w:tc>
          <w:tcPr>
            <w:tcW w:type="dxa" w:w="5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项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12项</w:t>
            </w:r>
          </w:p>
        </w:tc>
      </w:tr>
    </w:tbl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注：1. A07用人单位满意度2025年基线为84%；A09社会培训服务规模2025年基线为2400人次，括号内为相对基线增幅；A12校内实训工位2025年基线为3200个。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2. A02为是否型指标，计划于2029年完成内部质量保证体系建成及校级复核，其余年度为建设过程安排，不填写完成值目标。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3. A09年度数值为社会培训服务总人次，不是直接填写的增长率；2030年3600人次较2025年基线增长50%。</w:t>
      </w: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附表2：B+任务年度目标分解</w:t>
      </w:r>
    </w:p>
    <w:p>
      <w:pPr>
        <w:spacing w:after="10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本表共63条B+任务，其中A+指标下分任务59条、不可下分A类指标由校办公室直接承接4条。任务编号由指标编号与执行单元编码组成，所有数值均为规划目标，不是实际完成值。比率类目标不作加总校验，其他指标按照附表3口径执行。</w:t>
      </w:r>
    </w:p>
    <w:p>
      <w:pPr>
        <w:spacing w:after="4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1. A01 内部治理与质量保障任务完成数</w:t>
      </w:r>
    </w:p>
    <w:p>
      <w:pPr>
        <w:pStyle w:val="Heading3"/>
      </w:pPr>
      <w:r>
        <w:rPr>
          <w:rFonts w:ascii="Arial" w:eastAsia="SimHei" w:hAnsi="Arial"/>
          <w:b/>
          <w:bCs/>
          <w:color w:val="000000"/>
          <w:sz w:val="26"/>
          <w:szCs w:val="26"/>
        </w:rPr>
        <w:t xml:space="preserve">A01-1 制度建设与流程优化任务完成数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统计口径：增量累计型；单位：项；五年目标：25项。统计经学校审议发布并完成流程配套或评估验收的制度制修订、议事协调和内控优化任务，同一任务不重复计数。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A01-1-S01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S01 校办公室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25项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eastAsia="SimHei" w:hAnsi="Arial"/>
          <w:b/>
          <w:bCs/>
          <w:color w:val="000000"/>
          <w:sz w:val="26"/>
          <w:szCs w:val="26"/>
        </w:rPr>
        <w:t xml:space="preserve">A01-2 教学诊断与改进任务完成数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统计口径：增量累计型；单位：项；五年目标：15项。统计按年度诊改方案完成问题清单、整改实施和效果复核闭环的任务，须有复核结论。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A01-2-S01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S01 校办公室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A01-2-C01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C01 智能产业学院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A01-2-C04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C04 数据产业学院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A01-2-C06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C06 智能建造产业学院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A01-2-C10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C10 马克思主义学院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15项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2. A02 内部质量保证体系建成并通过校级复核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统计口径：是否型；单位：项；五年目标：2029年完成。2029 年底前完成内部质量保证体系建设、运行取证和校级复核。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A02-S01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S01 校办公室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完成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2029年完成</w:t>
            </w:r>
          </w:p>
        </w:tc>
      </w:tr>
    </w:tbl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3. A03 专业设置优化与数字化改造项目完成数</w:t>
      </w:r>
    </w:p>
    <w:p>
      <w:pPr>
        <w:pStyle w:val="Heading3"/>
      </w:pPr>
      <w:r>
        <w:rPr>
          <w:rFonts w:ascii="Arial" w:eastAsia="SimHei" w:hAnsi="Arial"/>
          <w:b/>
          <w:bCs/>
          <w:color w:val="000000"/>
          <w:sz w:val="26"/>
          <w:szCs w:val="26"/>
        </w:rPr>
        <w:t xml:space="preserve">A03-1 专业设置优化与数字化改造项目完成数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统计口径：增量累计型；单位：个；五年目标：20个。统计完成专业新设、停招撤并、方向调整或人才培养方案数字化改造且经学校验收的项目，每个专业每年最多认定 1 项。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A03-1-C01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C01 智能产业学院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20个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A03-1-C02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C02 数字金融产业学院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20个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A03-1-C03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C03 数字影视传媒产业学院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20个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A03-1-C04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C04 数据产业学院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20个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A03-1-C05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C05 游戏产业学院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20个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A03-1-C06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C06 智能建造产业学院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20个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A03-1-C07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C07 现代通信产业学院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20个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A03-1-C08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C08 未来技术产业学院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20个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4. A04 专业课双师型教师占比</w:t>
      </w:r>
    </w:p>
    <w:p>
      <w:pPr>
        <w:pStyle w:val="Heading3"/>
      </w:pPr>
      <w:r>
        <w:rPr>
          <w:rFonts w:ascii="Arial" w:eastAsia="SimHei" w:hAnsi="Arial"/>
          <w:b/>
          <w:bCs/>
          <w:color w:val="000000"/>
          <w:sz w:val="26"/>
          <w:szCs w:val="26"/>
        </w:rPr>
        <w:t xml:space="preserve">A04-1 专业课双师型教师占比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统计口径：占比型；单位：%；五年目标：70%。分子为按学校认定办法有效的双师型专业课教师人数，分母为专业课教师总人数；汇总按分子分母分别加总计算。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A04-1-C01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C01 智能产业学院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55%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58%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A04-1-C02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C02 数字金融产业学院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55%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58%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A04-1-C03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C03 数字影视传媒产业学院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55%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58%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A04-1-C04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C04 数据产业学院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55%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58%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A04-1-C05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C05 游戏产业学院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55%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58%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A04-1-C06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C06 智能建造产业学院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55%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58%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A04-1-C07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C07 现代通信产业学院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55%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58%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A04-1-C08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C08 未来技术产业学院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55%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58%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A04-1-C09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C09 国际学院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55%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58%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A04-1-C10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C10 马克思主义学院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55%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58%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62%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66%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70%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5. A05 学生省级以上职业技能竞赛获奖数</w:t>
      </w:r>
    </w:p>
    <w:p>
      <w:pPr>
        <w:pStyle w:val="Heading3"/>
      </w:pPr>
      <w:r>
        <w:rPr>
          <w:rFonts w:ascii="Arial" w:eastAsia="SimHei" w:hAnsi="Arial"/>
          <w:b/>
          <w:bCs/>
          <w:color w:val="000000"/>
          <w:sz w:val="26"/>
          <w:szCs w:val="26"/>
        </w:rPr>
        <w:t xml:space="preserve">A05-1 学生省级以上职业技能竞赛获奖数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统计口径：增量累计型；单位：项；五年目标：120项。统计学生参加省级及以上职业技能竞赛并获奖的项目数，按正式获奖文件或证书落款年度认定，同一项目同一级别不重复计数。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A05-1-C01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C01 智能产业学院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A05-1-C02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C02 数字金融产业学院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A05-1-C03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C03 数字影视传媒产业学院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A05-1-C04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C04 数据产业学院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A05-1-C05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C05 游戏产业学院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A05-1-C06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C06 智能建造产业学院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A05-1-C07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C07 现代通信产业学院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A05-1-C08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C08 未来技术产业学院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120项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6. A06 校企合作开发教材数</w:t>
      </w:r>
    </w:p>
    <w:p>
      <w:pPr>
        <w:pStyle w:val="Heading3"/>
      </w:pPr>
      <w:r>
        <w:rPr>
          <w:rFonts w:ascii="Arial" w:eastAsia="SimHei" w:hAnsi="Arial"/>
          <w:b/>
          <w:bCs/>
          <w:color w:val="000000"/>
          <w:sz w:val="26"/>
          <w:szCs w:val="26"/>
        </w:rPr>
        <w:t xml:space="preserve">A06-1 校企合作开发教材数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统计口径：增量累计型；单位：部；五年目标：30部。统计与企业共同开发、通过学校教材建设验收并投入教学使用的纸质或数字教材，同一教材修订版不重复计数。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A06-1-C01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C01 智能产业学院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30部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A06-1-C03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C03 数字影视传媒产业学院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30部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A06-1-C05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C05 游戏产业学院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30部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A06-1-C06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C06 智能建造产业学院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30部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A06-1-C10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C10 马克思主义学院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30部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7. A07 用人单位满意度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统计口径：直填百分比型；单位：%；五年目标：90%。到 2030 年用人单位满意度达到 90%，调查须说明来源并附统计材料。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A07-S01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S01 校办公室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85%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86%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88%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89%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90%</w:t>
            </w:r>
          </w:p>
        </w:tc>
      </w:tr>
    </w:tbl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8. A08 企业横向技术服务到款额</w:t>
      </w:r>
    </w:p>
    <w:p>
      <w:pPr>
        <w:pStyle w:val="Heading3"/>
      </w:pPr>
      <w:r>
        <w:rPr>
          <w:rFonts w:ascii="Arial" w:eastAsia="SimHei" w:hAnsi="Arial"/>
          <w:b/>
          <w:bCs/>
          <w:color w:val="000000"/>
          <w:sz w:val="26"/>
          <w:szCs w:val="26"/>
        </w:rPr>
        <w:t xml:space="preserve">A08-1 企业横向技术服务到款额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统计口径：增量累计型；单位：万元；五年目标：600万元。以学校财务实际到账为准，统计为企业提供软件开发、数据治理、数字内容制作、技术咨询和运维等服务的横向项目到款额。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A08-1-C01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C01 智能产业学院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600万元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A08-1-C02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C02 数字金融产业学院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600万元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A08-1-C03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C03 数字影视传媒产业学院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600万元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A08-1-C04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C04 数据产业学院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600万元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A08-1-C05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C05 游戏产业学院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600万元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A08-1-C06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C06 智能建造产业学院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600万元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A08-1-C07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C07 现代通信产业学院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600万元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A08-1-C08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C08 未来技术产业学院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600万元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9. A09 社会培训服务规模增长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统计口径：增长率型；单位：人次；五年目标：3600人次（较基线增长50%）。以 2025 年 2400 人次为基线，2030 年社会培训达到 3600 人次，五年增长 50%。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A09-S01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S01 校办公室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2640（+10%）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2820（+17.5%）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3060（+27.5%）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3300（+37.5%）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3600（+50%）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3600人次（较基线增长50%）</w:t>
            </w:r>
          </w:p>
        </w:tc>
      </w:tr>
    </w:tbl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10. A10 校园文化品牌与实践育人项目完成数</w:t>
      </w:r>
    </w:p>
    <w:p>
      <w:pPr>
        <w:pStyle w:val="Heading3"/>
      </w:pPr>
      <w:r>
        <w:rPr>
          <w:rFonts w:ascii="Arial" w:eastAsia="SimHei" w:hAnsi="Arial"/>
          <w:b/>
          <w:bCs/>
          <w:color w:val="000000"/>
          <w:sz w:val="26"/>
          <w:szCs w:val="26"/>
        </w:rPr>
        <w:t xml:space="preserve">A10-1 校园文化品牌与实践育人项目完成数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统计口径：增量累计型；单位：项；五年目标：50项。统计纳入年度育人方案、完成实施和总结评价的校园文化活动、志愿服务、劳动教育或社团品牌项目，常规例行活动不重复认定。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A10-1-C01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C01 智能产业学院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A10-1-C03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C03 数字影视传媒产业学院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A10-1-C05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C05 游戏产业学院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A10-1-C06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C06 智能建造产业学院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A10-1-C09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C09 国际学院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A10-1-C10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C10 马克思主义学院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50项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11. A11 办学条件与智慧校园重点项目完成数</w:t>
      </w:r>
    </w:p>
    <w:p>
      <w:pPr>
        <w:pStyle w:val="Heading3"/>
      </w:pPr>
      <w:r>
        <w:rPr>
          <w:rFonts w:ascii="Arial" w:eastAsia="SimHei" w:hAnsi="Arial"/>
          <w:b/>
          <w:bCs/>
          <w:color w:val="000000"/>
          <w:sz w:val="26"/>
          <w:szCs w:val="26"/>
        </w:rPr>
        <w:t xml:space="preserve">A11-1 办学条件与智慧校园重点项目完成数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统计口径：增量累计型；单位：项；五年目标：30项。统计纳入学校年度建设预算并完成验收的教学空间改造、实训环境改善、网络与数据治理、业务系统升级等重点项目。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A11-1-S01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S01 校办公室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A11-1-C01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C01 智能产业学院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A11-1-C04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C04 数据产业学院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A11-1-C06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C06 智能建造产业学院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A11-1-C08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C08 未来技术产业学院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30项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12. A12 校内实训工位规模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统计口径：存量时点型；单位：个；五年目标：4000个。以 2025 年 3200 个为基线，2030 年可用校内实训工位达到 4000 个。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A12-S01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S01 校办公室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3400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3550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3720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3860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4000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4000个</w:t>
            </w:r>
          </w:p>
        </w:tc>
      </w:tr>
    </w:tbl>
    <w:p>
      <w:pPr>
        <w:pStyle w:val="Heading2"/>
      </w:pPr>
      <w:r>
        <w:rPr>
          <w:rFonts w:ascii="Arial" w:eastAsia="SimHei" w:hAnsi="Arial"/>
          <w:b/>
          <w:bCs/>
          <w:color w:val="000000"/>
          <w:sz w:val="28"/>
          <w:szCs w:val="28"/>
        </w:rPr>
        <w:t xml:space="preserve">13. A13 国（境）外交流与合作项目完成数</w:t>
      </w:r>
    </w:p>
    <w:p>
      <w:pPr>
        <w:pStyle w:val="Heading3"/>
      </w:pPr>
      <w:r>
        <w:rPr>
          <w:rFonts w:ascii="Arial" w:eastAsia="SimHei" w:hAnsi="Arial"/>
          <w:b/>
          <w:bCs/>
          <w:color w:val="000000"/>
          <w:sz w:val="26"/>
          <w:szCs w:val="26"/>
        </w:rPr>
        <w:t xml:space="preserve">A13-1 国（境）外交流与合作项目完成数</w:t>
      </w:r>
    </w:p>
    <w:p>
      <w:pPr>
        <w:spacing w:after="6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0"/>
          <w:szCs w:val="20"/>
        </w:rPr>
        <w:t xml:space="preserve">统计口径：增量累计型；单位：项；五年目标：12项。统计完成协议签署并开展实质活动的校际交流、师生研修、课程引进或文化交流项目，仅签署意向书但未实施的不予认定。</w:t>
      </w: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600"/>
        <w:gridCol w:w="190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/>
        </w:trPr>
        <w:tc>
          <w:tcPr>
            <w:tcW w:type="dxa" w:w="16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执行单元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2026年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2027年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2028年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2029年</w:t>
            </w:r>
          </w:p>
        </w:tc>
        <w:tc>
          <w:tcPr>
            <w:tcW w:type="dxa" w:w="8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2030年</w:t>
            </w:r>
          </w:p>
        </w:tc>
        <w:tc>
          <w:tcPr>
            <w:tcW w:type="dxa" w:w="17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6"/>
                <w:szCs w:val="16"/>
              </w:rPr>
              <w:t xml:space="preserve">五年目标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A13-1-C01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C01 智能产业学院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A13-1-C03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C03 数字影视传媒产业学院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12项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A13-1-C09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C09 国际学院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8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12项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Arial" w:eastAsia="SimHei" w:hAnsi="Arial"/>
          <w:b/>
          <w:bCs/>
          <w:color w:val="000000"/>
          <w:sz w:val="32"/>
          <w:szCs w:val="32"/>
        </w:rPr>
        <w:t xml:space="preserve">附表3：统计口径与目标认定说明</w:t>
      </w:r>
    </w:p>
    <w:p>
      <w:pPr>
        <w:spacing w:after="10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为保证不同年度、不同执行单元数据可比，各类指标统一采用下表口径。实际完成值统计仅使用审核通过的数据，填报值、待审核值和驳回值不得混入。所有数值计算由平台按统一规则完成。</w:t>
      </w:r>
    </w:p>
    <w:p>
      <w:pPr>
        <w:spacing w:after="40"/>
      </w:pPr>
    </w:p>
    <w:tbl>
      <w:tblPr>
        <w:tblW w:type="dxa" w:w="9500"/>
        <w:jc w:val="center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450"/>
        <w:gridCol w:w="1900"/>
        <w:gridCol w:w="3650"/>
        <w:gridCol w:w="2500"/>
      </w:tblGrid>
      <w:tr>
        <w:trPr>
          <w:cantSplit/>
          <w:tblHeader/>
        </w:trPr>
        <w:tc>
          <w:tcPr>
            <w:tcW w:type="dxa" w:w="14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统计口径</w:t>
            </w:r>
          </w:p>
        </w:tc>
        <w:tc>
          <w:tcPr>
            <w:tcW w:type="dxa" w:w="19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适用指标</w:t>
            </w:r>
          </w:p>
        </w:tc>
        <w:tc>
          <w:tcPr>
            <w:tcW w:type="dxa" w:w="365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完成值与计算方法</w:t>
            </w:r>
          </w:p>
        </w:tc>
        <w:tc>
          <w:tcPr>
            <w:tcW w:type="dxa" w:w="2500"/>
            <w:shd w:fill="D9E2F3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Arial" w:eastAsia="SimHei" w:hAnsi="Arial"/>
                <w:b/>
                <w:bCs/>
                <w:color w:val="000000"/>
                <w:sz w:val="18"/>
                <w:szCs w:val="18"/>
              </w:rPr>
              <w:t xml:space="preserve">目标管理要求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增量累计型</w:t>
            </w:r>
          </w:p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INCREMENT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A01、A03、A05、A06、A08、A10、A11、A13及其A+</w:t>
            </w:r>
          </w:p>
        </w:tc>
        <w:tc>
          <w:tcPr>
            <w:tcW w:type="dxa" w:w="3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填报当年新增数量；年度完成值为当年审核通过的新增量之和，五年完成为各年度完成之和。</w:t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年度目标之和应等于五年总量；A+向各B+分解须守恒。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存量时点型</w:t>
            </w:r>
          </w:p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STOCK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A12</w:t>
            </w:r>
          </w:p>
        </w:tc>
        <w:tc>
          <w:tcPr>
            <w:tcW w:type="dxa" w:w="3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填报当前可用总量；年度完成值为当年最后一次审核通过的总量，年度增量为本年总量减上年总量。</w:t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2030年目标4000个为时点存量，不将五个年度目标相加。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增长率型</w:t>
            </w:r>
          </w:p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GROWTH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A09</w:t>
            </w:r>
          </w:p>
        </w:tc>
        <w:tc>
          <w:tcPr>
            <w:tcW w:type="dxa" w:w="3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采集服务规模总量；年度增长率为本年总量除以上年总量再减1，第一年以2025年基线为上年；五年增长率为末年总量除以基线再减1。</w:t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正文和附表展示服务人次及相对2025年基线增幅，不直接填报增长率。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占比型</w:t>
            </w:r>
          </w:p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RATIO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A04及其A+</w:t>
            </w:r>
          </w:p>
        </w:tc>
        <w:tc>
          <w:tcPr>
            <w:tcW w:type="dxa" w:w="3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分别采集双师型教师人数和专业课教师总人数，汇总时以分子之和除以分母之和。</w:t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不得对各学院百分比直接平均；目标不按增量求和校验。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直填百分比型</w:t>
            </w:r>
          </w:p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DIRECT_PERCENT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A07</w:t>
            </w:r>
          </w:p>
        </w:tc>
        <w:tc>
          <w:tcPr>
            <w:tcW w:type="dxa" w:w="3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依据规范调查直接填报满意度，必须附调查来源、样本清单、统计明细和证明材料。</w:t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2025年基线为84%，2030年目标为90%；不得将年度百分比相加。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是否型</w:t>
            </w:r>
          </w:p>
          <w:p>
            <w:pPr>
              <w:spacing w:after="0" w:before="0" w:line="25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1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A02</w:t>
            </w:r>
          </w:p>
        </w:tc>
        <w:tc>
          <w:tcPr>
            <w:tcW w:type="dxa" w:w="36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在指定计划完成年份依据体系方案、运行记录和复核意见认定是否完成。</w:t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A02计划完成年份为2029年；到期仍未通过复核则判为未达标。</w:t>
            </w:r>
          </w:p>
        </w:tc>
      </w:tr>
    </w:tbl>
    <w:p>
      <w:pPr>
        <w:spacing w:after="80" w:before="120" w:line="360"/>
        <w:jc w:val="both"/>
      </w:pPr>
      <w:r>
        <w:rPr>
          <w:rFonts w:ascii="Arial" w:eastAsia="SimHei" w:hAnsi="Arial"/>
          <w:b/>
          <w:bCs/>
          <w:color w:val="000000"/>
          <w:sz w:val="25"/>
          <w:szCs w:val="25"/>
        </w:rPr>
        <w:t xml:space="preserve">补充说明</w:t>
      </w:r>
    </w:p>
    <w:p>
      <w:pPr>
        <w:spacing w:after="10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1. 指标目标值、年度任务值与执行单元分解值以本规划附表为准。正文中的年度考核指标为摘要表述，若需核对精确数值，应查阅附表1和附表2。</w:t>
      </w:r>
    </w:p>
    <w:p>
      <w:pPr>
        <w:spacing w:after="10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2. 增量累计型项目在认定时应防止同一成果跨年度、跨单位重复计数；占比型指标须同时核验分子、分母；存量和增长率型指标须核验基线及时点总量；直填百分比和是否型指标须重点核验来源及佐证材料。</w:t>
      </w:r>
    </w:p>
    <w:p>
      <w:pPr>
        <w:spacing w:after="10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3. 规划执行过程中的延期、转移或目标调整，不改变原始记录的可追溯性。调整完成前应进行权限、适用范围、剩余额度和总量守恒校验，调整后保留前后快照及审批记录。</w:t>
      </w:r>
    </w:p>
    <w:p>
      <w:pPr>
        <w:spacing w:after="100" w:before="0" w:line="360"/>
        <w:jc w:val="both"/>
      </w:pPr>
      <w:r>
        <w:rPr>
          <w:rFonts w:ascii="Times New Roman" w:eastAsia="SimSun" w:hAnsi="Times New Roman"/>
          <w:b w:val="false"/>
          <w:bCs w:val="false"/>
          <w:color w:val="000000"/>
          <w:sz w:val="24"/>
          <w:szCs w:val="24"/>
        </w:rPr>
        <w:t xml:space="preserve">4. 本规划自发布之日起组织实施，由学校相关职能部门按职责分工负责解释和推进。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200" w:right="1200" w:bottom="1200" w:left="1200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18"/>
        <w:szCs w:val="18"/>
      </w:rPr>
      <w:t xml:space="preserve">— </w:t>
    </w:r>
    <w:r>
      <w:rPr>
        <w:rFonts w:ascii="Times New Roman" w:eastAsia="SimSun" w:hAnsi="Times New Roman"/>
        <w:sz w:val="18"/>
        <w:szCs w:val="18"/>
      </w:rPr>
      <w:fldChar w:fldCharType="begin"/>
    </w:r>
    <w:r>
      <w:rPr>
        <w:rFonts w:ascii="Times New Roman" w:eastAsia="SimSun" w:hAnsi="Times New Roman"/>
        <w:sz w:val="18"/>
        <w:szCs w:val="18"/>
      </w:rPr>
      <w:instrText xml:space="preserve">PAGE</w:instrText>
    </w:r>
    <w:r>
      <w:rPr>
        <w:rFonts w:ascii="Times New Roman" w:eastAsia="SimSun" w:hAnsi="Times New Roman"/>
        <w:sz w:val="18"/>
        <w:szCs w:val="18"/>
      </w:rPr>
      <w:fldChar w:fldCharType="separate"/>
    </w:r>
    <w:r>
      <w:rPr>
        <w:rFonts w:ascii="Times New Roman" w:eastAsia="SimSun" w:hAnsi="Times New Roman"/>
        <w:sz w:val="18"/>
        <w:szCs w:val="18"/>
      </w:rPr>
      <w:fldChar w:fldCharType="end"/>
    </w:r>
    <w:r>
      <w:rPr>
        <w:rFonts w:ascii="Times New Roman" w:eastAsia="SimSun" w:hAnsi="Times New Roman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rPr>
        <w:rFonts w:ascii="Times New Roman" w:eastAsia="SimSun" w:hAnsi="Times New Roman"/>
        <w:b w:val="false"/>
        <w:bCs w:val="false"/>
        <w:color w:val="666666"/>
        <w:sz w:val="18"/>
        <w:szCs w:val="18"/>
      </w:rPr>
      <w:t xml:space="preserve">福州软件职业技术学院“十五五”事业发展规划（2026—2030年）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>
      <w:pPr>
        <w:spacing w:after="10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40"/>
      <w:outlineLvl w:val="0"/>
    </w:pPr>
    <w:rPr>
      <w:rFonts w:ascii="Arial" w:eastAsia="SimHei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180"/>
      <w:outlineLvl w:val="1"/>
    </w:pPr>
    <w:rPr>
      <w:rFonts w:ascii="Arial" w:eastAsia="SimHei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40"/>
      <w:outlineLvl w:val="2"/>
    </w:pPr>
    <w:rPr>
      <w:rFonts w:ascii="Arial" w:eastAsia="SimHei" w:hAnsi="Arial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福州软件职业技术学院“十五五”事业发展规划（2026—2030年）</dc:title>
  <dc:creator>福州软件职业技术学院</dc:creator>
  <dc:description>2026—2030年学校事业发展规划正式文本，含八板块年度任务、核心指标及B+任务分解。</dc:description>
  <cp:lastModifiedBy>Un-named</cp:lastModifiedBy>
  <cp:revision>1</cp:revision>
  <dcterms:created xsi:type="dcterms:W3CDTF">2026-10-25T11:55:15.734Z</dcterms:created>
  <dcterms:modified xsi:type="dcterms:W3CDTF">2026-10-25T11:55:15.735Z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